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84"/>
        <w:gridCol w:w="1696"/>
        <w:gridCol w:w="3407"/>
        <w:gridCol w:w="1701"/>
        <w:gridCol w:w="1418"/>
      </w:tblGrid>
      <w:tr w:rsidR="0081677A" w:rsidTr="00926A59">
        <w:tc>
          <w:tcPr>
            <w:tcW w:w="3080" w:type="dxa"/>
            <w:gridSpan w:val="2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No</w:t>
            </w:r>
            <w:r w:rsidR="00ED0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81677A" w:rsidRDefault="0081677A" w:rsidP="00D23370">
            <w:pPr>
              <w:pStyle w:val="Normal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L-T-P-Credits</w:t>
            </w:r>
          </w:p>
          <w:p w:rsidR="0081677A" w:rsidRDefault="0081677A" w:rsidP="00D23370">
            <w:pPr>
              <w:pStyle w:val="Normal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7A" w:rsidTr="00926A59">
        <w:tc>
          <w:tcPr>
            <w:tcW w:w="3080" w:type="dxa"/>
            <w:gridSpan w:val="2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 403</w:t>
            </w:r>
          </w:p>
        </w:tc>
        <w:tc>
          <w:tcPr>
            <w:tcW w:w="3407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Basic Inorganic and Main Group Chemistry</w:t>
            </w:r>
          </w:p>
        </w:tc>
        <w:tc>
          <w:tcPr>
            <w:tcW w:w="3119" w:type="dxa"/>
            <w:gridSpan w:val="2"/>
          </w:tcPr>
          <w:p w:rsidR="0081677A" w:rsidRDefault="0081677A" w:rsidP="0038408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3-0-0:      </w:t>
            </w:r>
            <w:r w:rsidR="0038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677A" w:rsidTr="00926A59">
        <w:tc>
          <w:tcPr>
            <w:tcW w:w="9606" w:type="dxa"/>
            <w:gridSpan w:val="5"/>
          </w:tcPr>
          <w:p w:rsidR="0081677A" w:rsidRDefault="0081677A" w:rsidP="0000610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Prerequisite: </w:t>
            </w:r>
            <w:r w:rsidR="00006102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1677A" w:rsidTr="00926A59">
        <w:tc>
          <w:tcPr>
            <w:tcW w:w="9606" w:type="dxa"/>
            <w:gridSpan w:val="5"/>
          </w:tcPr>
          <w:p w:rsidR="0081677A" w:rsidRDefault="0081677A" w:rsidP="00D2337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9238" w:type="dxa"/>
              <w:tblInd w:w="137" w:type="dxa"/>
              <w:tblLayout w:type="fixed"/>
              <w:tblLook w:val="0400"/>
            </w:tblPr>
            <w:tblGrid>
              <w:gridCol w:w="2273"/>
              <w:gridCol w:w="6965"/>
            </w:tblGrid>
            <w:tr w:rsidR="0081677A" w:rsidTr="00D60588">
              <w:tc>
                <w:tcPr>
                  <w:tcW w:w="2273" w:type="dxa"/>
                </w:tcPr>
                <w:p w:rsidR="0081677A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Course Objectives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81677A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" w:eastAsia="Times" w:hAnsi="Times" w:cs="Time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5" w:type="dxa"/>
                </w:tcPr>
                <w:p w:rsidR="0081677A" w:rsidRPr="000617FE" w:rsidRDefault="0081677A" w:rsidP="000617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main objective of the course is to provide basic foundation </w:t>
                  </w:r>
                  <w:r w:rsidR="00A41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</w:t>
                  </w:r>
                  <w:r w:rsidR="005E28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theories of chemical bonding</w:t>
                  </w:r>
                  <w:r w:rsidR="00A41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</w:t>
                  </w:r>
                  <w:r w:rsidR="005E28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41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acid base chemistry. The course is </w:t>
                  </w:r>
                  <w:r w:rsidR="00061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designed to provide knowledge of bonding, structure and properties of main group elements and their inorganic compounds, and redox properties.</w:t>
                  </w:r>
                </w:p>
              </w:tc>
            </w:tr>
            <w:tr w:rsidR="0081677A" w:rsidTr="00D60588">
              <w:tc>
                <w:tcPr>
                  <w:tcW w:w="2273" w:type="dxa"/>
                </w:tcPr>
                <w:p w:rsidR="0081677A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Course Outcomes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81677A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" w:eastAsia="Times" w:hAnsi="Times" w:cs="Time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5" w:type="dxa"/>
                </w:tcPr>
                <w:p w:rsidR="0081677A" w:rsidRPr="00D31E3D" w:rsidRDefault="0081677A" w:rsidP="00D23370">
                  <w:pPr>
                    <w:pStyle w:val="Normal1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 successful completion of the course, students will be able to:</w:t>
                  </w:r>
                </w:p>
                <w:p w:rsidR="0081677A" w:rsidRDefault="00136B40" w:rsidP="00136B40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basic concepts of bonding theories of diatomic and triatomic molecules and predict structure and properties of molecules.</w:t>
                  </w:r>
                </w:p>
                <w:p w:rsidR="00136B40" w:rsidRDefault="00136B40" w:rsidP="00136B40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inter and intr</w:t>
                  </w:r>
                  <w:r w:rsidR="00CF6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amolecular interactions and predict properties of molecules.</w:t>
                  </w:r>
                </w:p>
                <w:p w:rsidR="00CF6DD8" w:rsidRDefault="00CF6DD8" w:rsidP="00136B40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basic concepts of acid base and redox chemistry.</w:t>
                  </w:r>
                </w:p>
                <w:p w:rsidR="00CF6DD8" w:rsidRDefault="006F5085" w:rsidP="00CF6DD8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CF6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pply these concepts to predict properties of molecules and ions.</w:t>
                  </w:r>
                  <w:bookmarkStart w:id="0" w:name="_GoBack"/>
                  <w:bookmarkEnd w:id="0"/>
                </w:p>
                <w:p w:rsidR="00CF6DD8" w:rsidRDefault="00CC6ACD" w:rsidP="00C30F23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the </w:t>
                  </w:r>
                  <w:r w:rsidR="00C30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bonding in inorganic chain, ring and cage compounds.</w:t>
                  </w:r>
                </w:p>
              </w:tc>
            </w:tr>
          </w:tbl>
          <w:p w:rsidR="0081677A" w:rsidRDefault="0081677A" w:rsidP="00D2337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7A" w:rsidTr="00926A59">
        <w:tc>
          <w:tcPr>
            <w:tcW w:w="9606" w:type="dxa"/>
            <w:gridSpan w:val="5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SYLLABUS</w:t>
            </w:r>
          </w:p>
        </w:tc>
      </w:tr>
      <w:tr w:rsidR="0081677A" w:rsidTr="00926A59">
        <w:tc>
          <w:tcPr>
            <w:tcW w:w="1384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677A" w:rsidTr="00926A59">
        <w:tc>
          <w:tcPr>
            <w:tcW w:w="1384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5B31F8" w:rsidRPr="005B31F8" w:rsidRDefault="005B31F8" w:rsidP="0081677A">
            <w:pPr>
              <w:pStyle w:val="Default"/>
              <w:jc w:val="both"/>
              <w:rPr>
                <w:b/>
                <w:bCs/>
              </w:rPr>
            </w:pPr>
            <w:r w:rsidRPr="005B31F8">
              <w:rPr>
                <w:b/>
                <w:bCs/>
              </w:rPr>
              <w:t>Chemical Bonding</w:t>
            </w:r>
          </w:p>
          <w:p w:rsidR="0081677A" w:rsidRPr="0081677A" w:rsidRDefault="0081677A" w:rsidP="0081677A">
            <w:pPr>
              <w:pStyle w:val="Default"/>
              <w:jc w:val="both"/>
              <w:rPr>
                <w:bCs/>
              </w:rPr>
            </w:pPr>
            <w:r w:rsidRPr="0081677A">
              <w:rPr>
                <w:bCs/>
              </w:rPr>
              <w:t>LCAO-MO methods in homo and heteronuclear diatomic molecules, bonding in triatomic molecules, VSEPR theory, hybridization, Walsh diagram, Bent's rule, structure and reactivity of covalently bonded molecules.</w:t>
            </w:r>
          </w:p>
          <w:p w:rsidR="0081677A" w:rsidRPr="0081677A" w:rsidRDefault="0081677A" w:rsidP="0081677A">
            <w:pPr>
              <w:pStyle w:val="Default"/>
              <w:jc w:val="both"/>
            </w:pPr>
            <w:r w:rsidRPr="0081677A">
              <w:rPr>
                <w:bCs/>
              </w:rPr>
              <w:t>Atomic and ionic radii–bond length, bond strength. Hydrogen bonding interactions, effect of hydrogen bonding and other chemical forces on melting, boiling and solubility.</w:t>
            </w:r>
          </w:p>
          <w:p w:rsidR="0081677A" w:rsidRPr="00330A4F" w:rsidRDefault="0081677A" w:rsidP="00D23370">
            <w:pPr>
              <w:pStyle w:val="Normal1"/>
              <w:spacing w:line="252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677A" w:rsidTr="00926A59">
        <w:tc>
          <w:tcPr>
            <w:tcW w:w="1384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5B31F8" w:rsidRPr="005B31F8" w:rsidRDefault="0081677A" w:rsidP="0081677A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F8">
              <w:rPr>
                <w:rFonts w:ascii="Times New Roman" w:hAnsi="Times New Roman" w:cs="Times New Roman"/>
                <w:b/>
                <w:sz w:val="24"/>
                <w:szCs w:val="24"/>
              </w:rPr>
              <w:t>Acid Base and Redox Chemistry</w:t>
            </w:r>
          </w:p>
          <w:p w:rsidR="0081677A" w:rsidRPr="00330A4F" w:rsidRDefault="0081677A" w:rsidP="0081677A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A">
              <w:rPr>
                <w:rFonts w:ascii="Times New Roman" w:hAnsi="Times New Roman" w:cs="Times New Roman"/>
                <w:sz w:val="24"/>
                <w:szCs w:val="24"/>
              </w:rPr>
              <w:t>Acid-Base concepts, measure of acid-base strengths, acid-base in water, hard and soft acids and bases, application of Pearson HSAB principle; Non-aqueous solvent, aprotic solvent and super acids. Standard electrode potential, pH dependent of electrode potential, stability of metal ions in water, Latimer and Frost diagrams.</w:t>
            </w:r>
          </w:p>
        </w:tc>
        <w:tc>
          <w:tcPr>
            <w:tcW w:w="1418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77A" w:rsidTr="00926A59">
        <w:tc>
          <w:tcPr>
            <w:tcW w:w="1384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5B31F8" w:rsidRPr="005B31F8" w:rsidRDefault="005B31F8" w:rsidP="0081677A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F8">
              <w:rPr>
                <w:rFonts w:ascii="Times New Roman" w:hAnsi="Times New Roman" w:cs="Times New Roman"/>
                <w:b/>
                <w:sz w:val="24"/>
                <w:szCs w:val="24"/>
              </w:rPr>
              <w:t>Main-Group Chemistry</w:t>
            </w:r>
          </w:p>
          <w:p w:rsidR="0081677A" w:rsidRPr="00330A4F" w:rsidRDefault="0081677A" w:rsidP="0081677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7A">
              <w:rPr>
                <w:rFonts w:ascii="Times New Roman" w:hAnsi="Times New Roman" w:cs="Times New Roman"/>
                <w:sz w:val="24"/>
                <w:szCs w:val="24"/>
              </w:rPr>
              <w:t>Bonding in non-transition element compounds; Inorganic chains, rings, and cage compounds; silicates, boranes, carboranes, metalloboranes and metallocarboranes, Wade’s rules, S‒N, Se‒N and P‒N compounds, one dimensional conductor, aluminosilicates, zeolites, clays and molecular sieves; halogen and noble gas chemistry; Inter halogen compounds.</w:t>
            </w:r>
          </w:p>
        </w:tc>
        <w:tc>
          <w:tcPr>
            <w:tcW w:w="1418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Default="0081677A" w:rsidP="0081677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1677A" w:rsidRDefault="0081677A" w:rsidP="0081677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F35803" w:rsidRDefault="00F35803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 w:type="page"/>
      </w:r>
    </w:p>
    <w:p w:rsidR="0081677A" w:rsidRDefault="0081677A" w:rsidP="008167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Essential Readings:</w:t>
      </w:r>
    </w:p>
    <w:p w:rsidR="0081677A" w:rsidRPr="0081677A" w:rsidRDefault="0081677A" w:rsidP="00543741">
      <w:pPr>
        <w:pStyle w:val="Normal1"/>
        <w:numPr>
          <w:ilvl w:val="0"/>
          <w:numId w:val="9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77A">
        <w:rPr>
          <w:rFonts w:ascii="Times New Roman" w:hAnsi="Times New Roman" w:cs="Times New Roman"/>
          <w:sz w:val="24"/>
          <w:szCs w:val="24"/>
        </w:rPr>
        <w:t>J. E. Huheey, E. A. Keiter, R. L. Keiter and O. K. Medhi, Inorganic Chemistry: Principles of structure and reactivity, Pearson Education, 4th Edition, 2006.</w:t>
      </w:r>
    </w:p>
    <w:p w:rsidR="0081677A" w:rsidRPr="0081677A" w:rsidRDefault="0081677A" w:rsidP="00543741">
      <w:pPr>
        <w:pStyle w:val="Normal1"/>
        <w:numPr>
          <w:ilvl w:val="0"/>
          <w:numId w:val="9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77A">
        <w:rPr>
          <w:rFonts w:ascii="Times New Roman" w:hAnsi="Times New Roman" w:cs="Times New Roman"/>
          <w:sz w:val="24"/>
          <w:szCs w:val="24"/>
        </w:rPr>
        <w:t xml:space="preserve">F.A. Cotton, G. Wilkinson, C.A. Murillo and M. Bochmann, Advanced Inorganic Chemistry, Wiley, 6th Edition, 2007. </w:t>
      </w:r>
    </w:p>
    <w:p w:rsidR="008C7BA3" w:rsidRDefault="008C7BA3" w:rsidP="0081677A">
      <w:pPr>
        <w:pStyle w:val="Normal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1677A" w:rsidRDefault="0081677A" w:rsidP="008167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Supplementary Readings:</w:t>
      </w:r>
    </w:p>
    <w:p w:rsidR="0081677A" w:rsidRPr="008C7BA3" w:rsidRDefault="0081677A" w:rsidP="008C7BA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7BA3">
        <w:rPr>
          <w:rFonts w:ascii="Times New Roman" w:hAnsi="Times New Roman"/>
          <w:sz w:val="24"/>
          <w:szCs w:val="24"/>
        </w:rPr>
        <w:t>J. D. Lee, Concise Inorganic Chemistry, Oxford University Press, 5th Edition, 2008.</w:t>
      </w:r>
    </w:p>
    <w:p w:rsidR="0081677A" w:rsidRDefault="0081677A" w:rsidP="0081677A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7A" w:rsidRPr="0041576D" w:rsidRDefault="0081677A" w:rsidP="0081677A">
      <w:pPr>
        <w:pStyle w:val="Default"/>
      </w:pPr>
    </w:p>
    <w:sectPr w:rsidR="0081677A" w:rsidRPr="0041576D" w:rsidSect="00AB52C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85B"/>
    <w:multiLevelType w:val="hybridMultilevel"/>
    <w:tmpl w:val="029A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E69"/>
    <w:multiLevelType w:val="hybridMultilevel"/>
    <w:tmpl w:val="B3EA84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A28"/>
    <w:multiLevelType w:val="hybridMultilevel"/>
    <w:tmpl w:val="A0020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2BC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711"/>
    <w:multiLevelType w:val="multilevel"/>
    <w:tmpl w:val="35E0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DC3412D"/>
    <w:multiLevelType w:val="multilevel"/>
    <w:tmpl w:val="C9F4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3A7E3DF1"/>
    <w:multiLevelType w:val="hybridMultilevel"/>
    <w:tmpl w:val="1D8C0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7698"/>
    <w:multiLevelType w:val="hybridMultilevel"/>
    <w:tmpl w:val="D50CB6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3F67"/>
    <w:multiLevelType w:val="multilevel"/>
    <w:tmpl w:val="2A742D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02A21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59A6"/>
    <w:multiLevelType w:val="hybridMultilevel"/>
    <w:tmpl w:val="1CC8A7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B630F"/>
    <w:multiLevelType w:val="hybridMultilevel"/>
    <w:tmpl w:val="91C84A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30127"/>
    <w:rsid w:val="00006102"/>
    <w:rsid w:val="000617FE"/>
    <w:rsid w:val="00084589"/>
    <w:rsid w:val="001117A9"/>
    <w:rsid w:val="00130127"/>
    <w:rsid w:val="00134273"/>
    <w:rsid w:val="00136B40"/>
    <w:rsid w:val="00155261"/>
    <w:rsid w:val="001B3250"/>
    <w:rsid w:val="001F1373"/>
    <w:rsid w:val="00202F41"/>
    <w:rsid w:val="002130E1"/>
    <w:rsid w:val="002471E0"/>
    <w:rsid w:val="00266CE5"/>
    <w:rsid w:val="00306104"/>
    <w:rsid w:val="00330A4F"/>
    <w:rsid w:val="00332512"/>
    <w:rsid w:val="0038408E"/>
    <w:rsid w:val="003D3F5E"/>
    <w:rsid w:val="004465B6"/>
    <w:rsid w:val="00511448"/>
    <w:rsid w:val="005316B6"/>
    <w:rsid w:val="00543741"/>
    <w:rsid w:val="00577DFA"/>
    <w:rsid w:val="005B31F8"/>
    <w:rsid w:val="005E03AF"/>
    <w:rsid w:val="005E28C9"/>
    <w:rsid w:val="005F534E"/>
    <w:rsid w:val="00645E7A"/>
    <w:rsid w:val="00693968"/>
    <w:rsid w:val="006F5085"/>
    <w:rsid w:val="007D2CFE"/>
    <w:rsid w:val="0081677A"/>
    <w:rsid w:val="008C7BA3"/>
    <w:rsid w:val="00926A59"/>
    <w:rsid w:val="00951BA9"/>
    <w:rsid w:val="00A23584"/>
    <w:rsid w:val="00A41661"/>
    <w:rsid w:val="00AB52CE"/>
    <w:rsid w:val="00B870D1"/>
    <w:rsid w:val="00C30F23"/>
    <w:rsid w:val="00CC6ACD"/>
    <w:rsid w:val="00CF6DD8"/>
    <w:rsid w:val="00D31E3D"/>
    <w:rsid w:val="00D60588"/>
    <w:rsid w:val="00D864D7"/>
    <w:rsid w:val="00D9296E"/>
    <w:rsid w:val="00DE3226"/>
    <w:rsid w:val="00E32C26"/>
    <w:rsid w:val="00ED05F3"/>
    <w:rsid w:val="00F35803"/>
    <w:rsid w:val="00FC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CE"/>
  </w:style>
  <w:style w:type="paragraph" w:styleId="Heading1">
    <w:name w:val="heading 1"/>
    <w:basedOn w:val="Normal1"/>
    <w:next w:val="Normal1"/>
    <w:rsid w:val="00AB5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B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B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B5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B52C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B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2CE"/>
  </w:style>
  <w:style w:type="paragraph" w:styleId="Title">
    <w:name w:val="Title"/>
    <w:basedOn w:val="Normal1"/>
    <w:next w:val="Normal1"/>
    <w:rsid w:val="00AB52C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B5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AB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AB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77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677A"/>
    <w:pPr>
      <w:suppressAutoHyphens/>
      <w:ind w:left="720"/>
      <w:contextualSpacing/>
    </w:pPr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81677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677A"/>
    <w:pPr>
      <w:suppressAutoHyphens/>
      <w:ind w:left="720"/>
      <w:contextualSpacing/>
    </w:pPr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nitm</cp:lastModifiedBy>
  <cp:revision>27</cp:revision>
  <dcterms:created xsi:type="dcterms:W3CDTF">2019-04-24T12:36:00Z</dcterms:created>
  <dcterms:modified xsi:type="dcterms:W3CDTF">2019-07-08T04:44:00Z</dcterms:modified>
</cp:coreProperties>
</file>