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1384"/>
        <w:gridCol w:w="1696"/>
        <w:gridCol w:w="3407"/>
        <w:gridCol w:w="1701"/>
        <w:gridCol w:w="1418"/>
      </w:tblGrid>
      <w:tr w:rsidR="0081677A" w:rsidRPr="00DD41F2" w:rsidTr="00D66E22">
        <w:tc>
          <w:tcPr>
            <w:tcW w:w="3080" w:type="dxa"/>
            <w:gridSpan w:val="2"/>
          </w:tcPr>
          <w:p w:rsidR="0081677A" w:rsidRPr="00DD41F2" w:rsidRDefault="0081677A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F2">
              <w:rPr>
                <w:rFonts w:ascii="Times New Roman" w:eastAsia="Times New Roman" w:hAnsi="Times New Roman" w:cs="Times New Roman"/>
                <w:sz w:val="24"/>
                <w:szCs w:val="24"/>
              </w:rPr>
              <w:t>Course No</w:t>
            </w:r>
          </w:p>
        </w:tc>
        <w:tc>
          <w:tcPr>
            <w:tcW w:w="3407" w:type="dxa"/>
          </w:tcPr>
          <w:p w:rsidR="0081677A" w:rsidRPr="00DD41F2" w:rsidRDefault="0081677A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F2">
              <w:rPr>
                <w:rFonts w:ascii="Times New Roman" w:eastAsia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3119" w:type="dxa"/>
            <w:gridSpan w:val="2"/>
          </w:tcPr>
          <w:p w:rsidR="0081677A" w:rsidRPr="00DD41F2" w:rsidRDefault="0081677A" w:rsidP="00D23370">
            <w:pPr>
              <w:pStyle w:val="Normal1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F2">
              <w:rPr>
                <w:rFonts w:ascii="Times New Roman" w:eastAsia="Times New Roman" w:hAnsi="Times New Roman" w:cs="Times New Roman"/>
                <w:sz w:val="24"/>
                <w:szCs w:val="24"/>
              </w:rPr>
              <w:t>L-T-P-Credits</w:t>
            </w:r>
          </w:p>
          <w:p w:rsidR="0081677A" w:rsidRPr="00DD41F2" w:rsidRDefault="0081677A" w:rsidP="00D23370">
            <w:pPr>
              <w:pStyle w:val="Normal1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77A" w:rsidRPr="00DD41F2" w:rsidTr="00D66E22">
        <w:tc>
          <w:tcPr>
            <w:tcW w:w="3080" w:type="dxa"/>
            <w:gridSpan w:val="2"/>
          </w:tcPr>
          <w:p w:rsidR="00DD41F2" w:rsidRPr="00DD41F2" w:rsidRDefault="00DD41F2" w:rsidP="00DD41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CY 482</w:t>
            </w:r>
          </w:p>
          <w:p w:rsidR="0081677A" w:rsidRPr="00DD41F2" w:rsidRDefault="0081677A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7" w:type="dxa"/>
          </w:tcPr>
          <w:p w:rsidR="0081677A" w:rsidRPr="00DD41F2" w:rsidRDefault="00DD41F2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4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Inorganic Chemistry Laboratory</w:t>
            </w:r>
          </w:p>
        </w:tc>
        <w:tc>
          <w:tcPr>
            <w:tcW w:w="3119" w:type="dxa"/>
            <w:gridSpan w:val="2"/>
          </w:tcPr>
          <w:p w:rsidR="0081677A" w:rsidRPr="00DD41F2" w:rsidRDefault="00DD41F2" w:rsidP="00DD41F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4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0-0-6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DD41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</w:t>
            </w:r>
          </w:p>
        </w:tc>
      </w:tr>
      <w:tr w:rsidR="0081677A" w:rsidRPr="00DD41F2" w:rsidTr="00D66E22">
        <w:tc>
          <w:tcPr>
            <w:tcW w:w="9606" w:type="dxa"/>
            <w:gridSpan w:val="5"/>
          </w:tcPr>
          <w:p w:rsidR="0081677A" w:rsidRPr="00DD41F2" w:rsidRDefault="0081677A" w:rsidP="003F585B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Prerequisite: </w:t>
            </w:r>
            <w:r w:rsidR="003F585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81677A" w:rsidRPr="00DD41F2" w:rsidTr="00D66E22">
        <w:tc>
          <w:tcPr>
            <w:tcW w:w="9606" w:type="dxa"/>
            <w:gridSpan w:val="5"/>
          </w:tcPr>
          <w:p w:rsidR="0081677A" w:rsidRPr="00DD41F2" w:rsidRDefault="0081677A" w:rsidP="00D23370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1"/>
              <w:tblW w:w="9238" w:type="dxa"/>
              <w:tblInd w:w="137" w:type="dxa"/>
              <w:tblLayout w:type="fixed"/>
              <w:tblLook w:val="0400"/>
            </w:tblPr>
            <w:tblGrid>
              <w:gridCol w:w="2273"/>
              <w:gridCol w:w="6965"/>
            </w:tblGrid>
            <w:tr w:rsidR="0081677A" w:rsidRPr="00DD41F2" w:rsidTr="002B3276">
              <w:tc>
                <w:tcPr>
                  <w:tcW w:w="2273" w:type="dxa"/>
                </w:tcPr>
                <w:p w:rsidR="0081677A" w:rsidRPr="00DD41F2" w:rsidRDefault="0081677A" w:rsidP="00D23370">
                  <w:pPr>
                    <w:pStyle w:val="Normal1"/>
                    <w:widowControl w:val="0"/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1F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Course Objectives</w:t>
                  </w:r>
                  <w:r w:rsidRPr="00DD41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 </w:t>
                  </w:r>
                </w:p>
                <w:p w:rsidR="0081677A" w:rsidRPr="00DD41F2" w:rsidRDefault="0081677A" w:rsidP="00D23370">
                  <w:pPr>
                    <w:pStyle w:val="Normal1"/>
                    <w:widowControl w:val="0"/>
                    <w:spacing w:after="240"/>
                    <w:rPr>
                      <w:rFonts w:ascii="Times New Roman" w:eastAsia="Time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965" w:type="dxa"/>
                </w:tcPr>
                <w:p w:rsidR="0081677A" w:rsidRPr="002918ED" w:rsidRDefault="002918ED" w:rsidP="00991E08">
                  <w:pPr>
                    <w:shd w:val="clear" w:color="auto" w:fill="FFFFFF"/>
                    <w:spacing w:before="100" w:beforeAutospacing="1" w:after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The main objective of the laboratory course is to provide </w:t>
                  </w:r>
                  <w:r w:rsidR="00991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students with necessary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skills </w:t>
                  </w:r>
                  <w:r w:rsidR="00991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of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synthesis </w:t>
                  </w:r>
                  <w:r w:rsidR="00991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and characterization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of inorganic materials</w:t>
                  </w:r>
                  <w:r w:rsidR="00991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hands on experience </w:t>
                  </w:r>
                  <w:r w:rsidR="00991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with modern instrumentation, basic concepts of the </w:t>
                  </w:r>
                  <w:r w:rsidRPr="00DD41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underlying chemical and physical of i</w:t>
                  </w:r>
                  <w:r w:rsidR="00991E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nstrumental methods of analysis</w:t>
                  </w:r>
                  <w:r w:rsidRPr="00DD41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including electronic and vibrational spectroscopy, reaction kinetics formulating</w:t>
                  </w:r>
                  <w:r w:rsidR="00991E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DD41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and solving problems in the laboratory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81677A" w:rsidRPr="00DD41F2" w:rsidTr="002B3276">
              <w:tc>
                <w:tcPr>
                  <w:tcW w:w="2273" w:type="dxa"/>
                </w:tcPr>
                <w:p w:rsidR="0081677A" w:rsidRPr="00DD41F2" w:rsidRDefault="0081677A" w:rsidP="00D23370">
                  <w:pPr>
                    <w:pStyle w:val="Normal1"/>
                    <w:widowControl w:val="0"/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1F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Course Outcomes</w:t>
                  </w:r>
                  <w:r w:rsidRPr="00DD41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 </w:t>
                  </w:r>
                </w:p>
                <w:p w:rsidR="0081677A" w:rsidRPr="00DD41F2" w:rsidRDefault="0081677A" w:rsidP="00D23370">
                  <w:pPr>
                    <w:pStyle w:val="Normal1"/>
                    <w:widowControl w:val="0"/>
                    <w:spacing w:after="240"/>
                    <w:rPr>
                      <w:rFonts w:ascii="Times New Roman" w:eastAsia="Time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965" w:type="dxa"/>
                </w:tcPr>
                <w:p w:rsidR="00CF6DD8" w:rsidRDefault="00DD41F2" w:rsidP="00DD41F2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After the successful completion of the laborato</w:t>
                  </w:r>
                  <w:r w:rsidR="00991E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ry the students will be able to</w:t>
                  </w:r>
                </w:p>
                <w:p w:rsidR="00991E08" w:rsidRDefault="00991E08" w:rsidP="00991E08">
                  <w:pPr>
                    <w:pStyle w:val="Normal1"/>
                    <w:widowControl w:val="0"/>
                    <w:numPr>
                      <w:ilvl w:val="0"/>
                      <w:numId w:val="1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Synthesise single step and multi-step inorganic complexes and nano materials.</w:t>
                  </w:r>
                </w:p>
                <w:p w:rsidR="00991E08" w:rsidRDefault="00991E08" w:rsidP="00991E08">
                  <w:pPr>
                    <w:pStyle w:val="Normal1"/>
                    <w:widowControl w:val="0"/>
                    <w:numPr>
                      <w:ilvl w:val="0"/>
                      <w:numId w:val="1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Understand basic characterization techniques of inorganic materials.</w:t>
                  </w:r>
                </w:p>
                <w:p w:rsidR="00991E08" w:rsidRDefault="00991E08" w:rsidP="00991E08">
                  <w:pPr>
                    <w:pStyle w:val="Normal1"/>
                    <w:widowControl w:val="0"/>
                    <w:numPr>
                      <w:ilvl w:val="0"/>
                      <w:numId w:val="1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Apply instrumentation techniques to detect conversion of </w:t>
                  </w:r>
                  <w:r w:rsidRPr="00991E0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trans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991E0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cis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and linkage isomers, and redox reactions.</w:t>
                  </w:r>
                </w:p>
                <w:p w:rsidR="00991E08" w:rsidRPr="00991E08" w:rsidRDefault="00991E08" w:rsidP="00991E08">
                  <w:pPr>
                    <w:pStyle w:val="Normal1"/>
                    <w:widowControl w:val="0"/>
                    <w:numPr>
                      <w:ilvl w:val="0"/>
                      <w:numId w:val="1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Apply various quantitative estimation techniques. </w:t>
                  </w:r>
                </w:p>
              </w:tc>
            </w:tr>
          </w:tbl>
          <w:p w:rsidR="0081677A" w:rsidRPr="00DD41F2" w:rsidRDefault="0081677A" w:rsidP="00D23370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77A" w:rsidRPr="00DD41F2" w:rsidTr="00D66E22">
        <w:tc>
          <w:tcPr>
            <w:tcW w:w="9606" w:type="dxa"/>
            <w:gridSpan w:val="5"/>
          </w:tcPr>
          <w:p w:rsidR="0081677A" w:rsidRPr="00DD41F2" w:rsidRDefault="0081677A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4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SYLLABUS</w:t>
            </w:r>
          </w:p>
        </w:tc>
      </w:tr>
      <w:tr w:rsidR="0081677A" w:rsidRPr="00DD41F2" w:rsidTr="00D66E22">
        <w:tc>
          <w:tcPr>
            <w:tcW w:w="1384" w:type="dxa"/>
          </w:tcPr>
          <w:p w:rsidR="0081677A" w:rsidRPr="00DD41F2" w:rsidRDefault="0081677A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4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6804" w:type="dxa"/>
            <w:gridSpan w:val="3"/>
          </w:tcPr>
          <w:p w:rsidR="0081677A" w:rsidRPr="00DD41F2" w:rsidRDefault="0081677A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4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1418" w:type="dxa"/>
          </w:tcPr>
          <w:p w:rsidR="0081677A" w:rsidRPr="00DD41F2" w:rsidRDefault="0081677A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4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</w:t>
            </w:r>
          </w:p>
        </w:tc>
      </w:tr>
      <w:tr w:rsidR="0081677A" w:rsidRPr="00DD41F2" w:rsidTr="00D66E22">
        <w:tc>
          <w:tcPr>
            <w:tcW w:w="1384" w:type="dxa"/>
          </w:tcPr>
          <w:p w:rsidR="0081677A" w:rsidRPr="00DD41F2" w:rsidRDefault="0081677A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77A" w:rsidRPr="00DD41F2" w:rsidRDefault="0081677A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F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804" w:type="dxa"/>
            <w:gridSpan w:val="3"/>
          </w:tcPr>
          <w:p w:rsidR="002B3276" w:rsidRDefault="002B3276" w:rsidP="00DD41F2">
            <w:pPr>
              <w:pStyle w:val="Default"/>
              <w:jc w:val="both"/>
              <w:rPr>
                <w:b/>
                <w:bCs/>
              </w:rPr>
            </w:pPr>
          </w:p>
          <w:p w:rsidR="00DD41F2" w:rsidRPr="00DD41F2" w:rsidRDefault="00DD41F2" w:rsidP="00DD41F2">
            <w:pPr>
              <w:pStyle w:val="Default"/>
              <w:jc w:val="both"/>
              <w:rPr>
                <w:b/>
                <w:bCs/>
              </w:rPr>
            </w:pPr>
            <w:r w:rsidRPr="00DD41F2">
              <w:rPr>
                <w:b/>
                <w:bCs/>
              </w:rPr>
              <w:t>Preparation and characterization of the following compounds:</w:t>
            </w:r>
          </w:p>
          <w:p w:rsidR="00DD41F2" w:rsidRPr="00DD41F2" w:rsidRDefault="00DD41F2" w:rsidP="00DD41F2">
            <w:pPr>
              <w:pStyle w:val="Default"/>
              <w:jc w:val="both"/>
              <w:rPr>
                <w:bCs/>
              </w:rPr>
            </w:pPr>
            <w:r w:rsidRPr="00DD41F2">
              <w:rPr>
                <w:bCs/>
              </w:rPr>
              <w:t>(a)Tris(oxalato) manganese(III)</w:t>
            </w:r>
          </w:p>
          <w:p w:rsidR="00DD41F2" w:rsidRPr="00DD41F2" w:rsidRDefault="00DD41F2" w:rsidP="00DD41F2">
            <w:pPr>
              <w:pStyle w:val="Default"/>
              <w:jc w:val="both"/>
              <w:rPr>
                <w:bCs/>
              </w:rPr>
            </w:pPr>
            <w:r w:rsidRPr="00DD41F2">
              <w:rPr>
                <w:bCs/>
              </w:rPr>
              <w:t>(b)Tris(acetylacetonato) manganese(III)</w:t>
            </w:r>
          </w:p>
          <w:p w:rsidR="00DD41F2" w:rsidRPr="00DD41F2" w:rsidRDefault="00DD41F2" w:rsidP="00DD41F2">
            <w:pPr>
              <w:pStyle w:val="Default"/>
              <w:jc w:val="both"/>
              <w:rPr>
                <w:bCs/>
              </w:rPr>
            </w:pPr>
            <w:r w:rsidRPr="00DD41F2">
              <w:rPr>
                <w:bCs/>
              </w:rPr>
              <w:t>(c)Tris(acetylacetonato) iron(III)</w:t>
            </w:r>
          </w:p>
          <w:p w:rsidR="00DD41F2" w:rsidRPr="00DD41F2" w:rsidRDefault="00DD41F2" w:rsidP="00DD41F2">
            <w:pPr>
              <w:pStyle w:val="Default"/>
              <w:jc w:val="both"/>
              <w:rPr>
                <w:bCs/>
              </w:rPr>
            </w:pPr>
            <w:r w:rsidRPr="00DD41F2">
              <w:rPr>
                <w:bCs/>
              </w:rPr>
              <w:t>(d)Tris(ethylenediamine)cobalt(III) chloride</w:t>
            </w:r>
          </w:p>
          <w:p w:rsidR="00DD41F2" w:rsidRPr="00DD41F2" w:rsidRDefault="00DD41F2" w:rsidP="00DD41F2">
            <w:pPr>
              <w:pStyle w:val="Default"/>
              <w:jc w:val="both"/>
              <w:rPr>
                <w:bCs/>
              </w:rPr>
            </w:pPr>
            <w:r w:rsidRPr="00DD41F2">
              <w:rPr>
                <w:bCs/>
              </w:rPr>
              <w:t>(e)Tris(thiourea)copper(I) sulphate</w:t>
            </w:r>
          </w:p>
          <w:p w:rsidR="00DD41F2" w:rsidRPr="00DD41F2" w:rsidRDefault="00DD41F2" w:rsidP="00DD41F2">
            <w:pPr>
              <w:pStyle w:val="Default"/>
              <w:jc w:val="both"/>
              <w:rPr>
                <w:bCs/>
              </w:rPr>
            </w:pPr>
            <w:r w:rsidRPr="00DD41F2">
              <w:rPr>
                <w:bCs/>
              </w:rPr>
              <w:t>(f)Tetraminecopper(II) sulphate</w:t>
            </w:r>
          </w:p>
          <w:p w:rsidR="00DD41F2" w:rsidRPr="00DD41F2" w:rsidRDefault="00DD41F2" w:rsidP="00DD41F2">
            <w:pPr>
              <w:pStyle w:val="Default"/>
              <w:jc w:val="both"/>
              <w:rPr>
                <w:bCs/>
              </w:rPr>
            </w:pPr>
            <w:r w:rsidRPr="00DD41F2">
              <w:rPr>
                <w:bCs/>
              </w:rPr>
              <w:t>(g) Hexamine nickel(II) chloride</w:t>
            </w:r>
          </w:p>
          <w:p w:rsidR="00DD41F2" w:rsidRPr="00DD41F2" w:rsidRDefault="00DD41F2" w:rsidP="00DD41F2">
            <w:pPr>
              <w:pStyle w:val="Default"/>
              <w:jc w:val="both"/>
              <w:rPr>
                <w:bCs/>
              </w:rPr>
            </w:pPr>
            <w:r w:rsidRPr="00DD41F2">
              <w:rPr>
                <w:bCs/>
              </w:rPr>
              <w:t>(h)Tetrapyridinesilver(II) peroxidisulphate</w:t>
            </w:r>
          </w:p>
          <w:p w:rsidR="00DD41F2" w:rsidRPr="00DD41F2" w:rsidRDefault="00DD41F2" w:rsidP="00DD41F2">
            <w:pPr>
              <w:pStyle w:val="Default"/>
              <w:jc w:val="both"/>
              <w:rPr>
                <w:bCs/>
              </w:rPr>
            </w:pPr>
            <w:r w:rsidRPr="00DD41F2">
              <w:rPr>
                <w:bCs/>
              </w:rPr>
              <w:t>(i) Reinecke’s salt</w:t>
            </w:r>
          </w:p>
          <w:p w:rsidR="0081677A" w:rsidRPr="00DD41F2" w:rsidRDefault="00DD41F2" w:rsidP="00DD41F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(j) Schiff base complexes</w:t>
            </w:r>
          </w:p>
        </w:tc>
        <w:tc>
          <w:tcPr>
            <w:tcW w:w="1418" w:type="dxa"/>
          </w:tcPr>
          <w:p w:rsidR="0081677A" w:rsidRDefault="0081677A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6E22" w:rsidRPr="00DD41F2" w:rsidRDefault="00D66E22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 h per laboratory experiment</w:t>
            </w:r>
          </w:p>
        </w:tc>
      </w:tr>
      <w:tr w:rsidR="0081677A" w:rsidRPr="00DD41F2" w:rsidTr="00D66E22">
        <w:tc>
          <w:tcPr>
            <w:tcW w:w="1384" w:type="dxa"/>
          </w:tcPr>
          <w:p w:rsidR="0081677A" w:rsidRPr="00DD41F2" w:rsidRDefault="0081677A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77A" w:rsidRPr="00DD41F2" w:rsidRDefault="0081677A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F2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804" w:type="dxa"/>
            <w:gridSpan w:val="3"/>
          </w:tcPr>
          <w:p w:rsidR="002B3276" w:rsidRDefault="002B3276" w:rsidP="00DD41F2">
            <w:pPr>
              <w:pStyle w:val="Default"/>
              <w:jc w:val="both"/>
              <w:rPr>
                <w:bCs/>
              </w:rPr>
            </w:pPr>
          </w:p>
          <w:p w:rsidR="0081677A" w:rsidRPr="00DD41F2" w:rsidRDefault="00DD41F2" w:rsidP="00DD41F2">
            <w:pPr>
              <w:pStyle w:val="Default"/>
              <w:jc w:val="both"/>
              <w:rPr>
                <w:bCs/>
              </w:rPr>
            </w:pPr>
            <w:bookmarkStart w:id="0" w:name="_GoBack"/>
            <w:bookmarkEnd w:id="0"/>
            <w:r w:rsidRPr="00DD41F2">
              <w:rPr>
                <w:bCs/>
              </w:rPr>
              <w:t>Preparation and study of geometrical isomerism in dichlorobis(ethyle</w:t>
            </w:r>
            <w:r>
              <w:rPr>
                <w:bCs/>
              </w:rPr>
              <w:t>nediamine)cobalt(III) chloride.</w:t>
            </w:r>
          </w:p>
        </w:tc>
        <w:tc>
          <w:tcPr>
            <w:tcW w:w="1418" w:type="dxa"/>
          </w:tcPr>
          <w:p w:rsidR="0081677A" w:rsidRPr="00DD41F2" w:rsidRDefault="0081677A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1F2" w:rsidRPr="00DD41F2" w:rsidTr="00D66E22">
        <w:tc>
          <w:tcPr>
            <w:tcW w:w="1384" w:type="dxa"/>
          </w:tcPr>
          <w:p w:rsidR="00DD41F2" w:rsidRPr="00DD41F2" w:rsidRDefault="00DD41F2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804" w:type="dxa"/>
            <w:gridSpan w:val="3"/>
          </w:tcPr>
          <w:p w:rsidR="00DD41F2" w:rsidRPr="00DD41F2" w:rsidRDefault="00DD41F2" w:rsidP="00DD41F2">
            <w:pPr>
              <w:pStyle w:val="Default"/>
              <w:jc w:val="both"/>
              <w:rPr>
                <w:bCs/>
              </w:rPr>
            </w:pPr>
            <w:r w:rsidRPr="00DD41F2">
              <w:rPr>
                <w:bCs/>
              </w:rPr>
              <w:t>Preparation and study of linkage isomerism in pentaminenitrocobalt(III)chloride complex.</w:t>
            </w:r>
          </w:p>
        </w:tc>
        <w:tc>
          <w:tcPr>
            <w:tcW w:w="1418" w:type="dxa"/>
          </w:tcPr>
          <w:p w:rsidR="00DD41F2" w:rsidRPr="00DD41F2" w:rsidRDefault="00DD41F2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1F2" w:rsidRPr="00DD41F2" w:rsidTr="00D66E22">
        <w:tc>
          <w:tcPr>
            <w:tcW w:w="1384" w:type="dxa"/>
          </w:tcPr>
          <w:p w:rsidR="00DD41F2" w:rsidRPr="00DD41F2" w:rsidRDefault="00DD41F2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804" w:type="dxa"/>
            <w:gridSpan w:val="3"/>
          </w:tcPr>
          <w:p w:rsidR="00DD41F2" w:rsidRPr="00DD41F2" w:rsidRDefault="00DD41F2" w:rsidP="00DD41F2">
            <w:pPr>
              <w:pStyle w:val="Default"/>
              <w:jc w:val="both"/>
              <w:rPr>
                <w:bCs/>
              </w:rPr>
            </w:pPr>
            <w:r w:rsidRPr="00DD41F2">
              <w:rPr>
                <w:bCs/>
              </w:rPr>
              <w:t>Cyclic Voltammogram for a reversible reaction.</w:t>
            </w:r>
          </w:p>
        </w:tc>
        <w:tc>
          <w:tcPr>
            <w:tcW w:w="1418" w:type="dxa"/>
          </w:tcPr>
          <w:p w:rsidR="00DD41F2" w:rsidRPr="00DD41F2" w:rsidRDefault="00DD41F2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1F2" w:rsidRPr="00DD41F2" w:rsidTr="00D66E22">
        <w:tc>
          <w:tcPr>
            <w:tcW w:w="1384" w:type="dxa"/>
          </w:tcPr>
          <w:p w:rsidR="00DD41F2" w:rsidRPr="00DD41F2" w:rsidRDefault="00DD41F2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804" w:type="dxa"/>
            <w:gridSpan w:val="3"/>
          </w:tcPr>
          <w:p w:rsidR="00DD41F2" w:rsidRPr="00DD41F2" w:rsidRDefault="00DD41F2" w:rsidP="00DD41F2">
            <w:pPr>
              <w:pStyle w:val="Default"/>
              <w:jc w:val="both"/>
              <w:rPr>
                <w:bCs/>
              </w:rPr>
            </w:pPr>
            <w:r w:rsidRPr="00DD41F2">
              <w:rPr>
                <w:bCs/>
              </w:rPr>
              <w:t>Synthesis and characterization of Silver and Gold nanoparticles.</w:t>
            </w:r>
          </w:p>
        </w:tc>
        <w:tc>
          <w:tcPr>
            <w:tcW w:w="1418" w:type="dxa"/>
          </w:tcPr>
          <w:p w:rsidR="00DD41F2" w:rsidRPr="00DD41F2" w:rsidRDefault="00DD41F2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1F2" w:rsidRPr="00DD41F2" w:rsidTr="00D66E22">
        <w:tc>
          <w:tcPr>
            <w:tcW w:w="1384" w:type="dxa"/>
          </w:tcPr>
          <w:p w:rsidR="00DD41F2" w:rsidRPr="00DD41F2" w:rsidRDefault="00DD41F2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804" w:type="dxa"/>
            <w:gridSpan w:val="3"/>
          </w:tcPr>
          <w:p w:rsidR="00DD41F2" w:rsidRPr="00DD41F2" w:rsidRDefault="00DD41F2" w:rsidP="00DD41F2">
            <w:pPr>
              <w:pStyle w:val="Default"/>
              <w:jc w:val="both"/>
              <w:rPr>
                <w:bCs/>
              </w:rPr>
            </w:pPr>
            <w:r w:rsidRPr="00DD41F2">
              <w:rPr>
                <w:bCs/>
              </w:rPr>
              <w:t>Potentiometric titration of Fe</w:t>
            </w:r>
            <w:r w:rsidRPr="00DD41F2">
              <w:rPr>
                <w:bCs/>
                <w:vertAlign w:val="superscript"/>
              </w:rPr>
              <w:t>2+</w:t>
            </w:r>
            <w:r w:rsidRPr="00DD41F2">
              <w:rPr>
                <w:bCs/>
              </w:rPr>
              <w:t xml:space="preserve"> with Cr</w:t>
            </w:r>
            <w:r w:rsidRPr="00DD41F2">
              <w:rPr>
                <w:bCs/>
                <w:vertAlign w:val="subscript"/>
              </w:rPr>
              <w:t>2</w:t>
            </w:r>
            <w:r w:rsidRPr="00DD41F2">
              <w:rPr>
                <w:bCs/>
              </w:rPr>
              <w:t>O</w:t>
            </w:r>
            <w:r w:rsidRPr="00DD41F2">
              <w:rPr>
                <w:bCs/>
                <w:vertAlign w:val="subscript"/>
              </w:rPr>
              <w:t>7</w:t>
            </w:r>
            <w:r w:rsidRPr="00DD41F2">
              <w:rPr>
                <w:bCs/>
                <w:vertAlign w:val="superscript"/>
              </w:rPr>
              <w:t>2−</w:t>
            </w:r>
            <w:r>
              <w:rPr>
                <w:bCs/>
              </w:rPr>
              <w:t>.</w:t>
            </w:r>
          </w:p>
        </w:tc>
        <w:tc>
          <w:tcPr>
            <w:tcW w:w="1418" w:type="dxa"/>
          </w:tcPr>
          <w:p w:rsidR="00DD41F2" w:rsidRPr="00DD41F2" w:rsidRDefault="00DD41F2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77A" w:rsidRPr="00DD41F2" w:rsidTr="00D66E22">
        <w:tc>
          <w:tcPr>
            <w:tcW w:w="1384" w:type="dxa"/>
          </w:tcPr>
          <w:p w:rsidR="0081677A" w:rsidRPr="00DD41F2" w:rsidRDefault="0081677A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77A" w:rsidRPr="00DD41F2" w:rsidRDefault="00DD41F2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804" w:type="dxa"/>
            <w:gridSpan w:val="3"/>
          </w:tcPr>
          <w:p w:rsidR="002B3276" w:rsidRDefault="002B3276" w:rsidP="00DD41F2">
            <w:pPr>
              <w:pStyle w:val="Default"/>
              <w:jc w:val="both"/>
              <w:rPr>
                <w:b/>
                <w:bCs/>
              </w:rPr>
            </w:pPr>
          </w:p>
          <w:p w:rsidR="00DD41F2" w:rsidRPr="00DD41F2" w:rsidRDefault="00DD41F2" w:rsidP="00DD41F2">
            <w:pPr>
              <w:pStyle w:val="Default"/>
              <w:jc w:val="both"/>
              <w:rPr>
                <w:b/>
                <w:bCs/>
              </w:rPr>
            </w:pPr>
            <w:r w:rsidRPr="00DD41F2">
              <w:rPr>
                <w:b/>
                <w:bCs/>
              </w:rPr>
              <w:t>Quantitative estimation:</w:t>
            </w:r>
          </w:p>
          <w:p w:rsidR="00DD41F2" w:rsidRPr="00DD41F2" w:rsidRDefault="00DD41F2" w:rsidP="00DD41F2">
            <w:pPr>
              <w:pStyle w:val="Default"/>
              <w:jc w:val="both"/>
              <w:rPr>
                <w:bCs/>
              </w:rPr>
            </w:pPr>
            <w:r w:rsidRPr="00DD41F2">
              <w:rPr>
                <w:bCs/>
              </w:rPr>
              <w:t>(a) Estimation of calcium in milk powder by complexometric titration</w:t>
            </w:r>
          </w:p>
          <w:p w:rsidR="00DD41F2" w:rsidRPr="00DD41F2" w:rsidRDefault="00DD41F2" w:rsidP="00DD41F2">
            <w:pPr>
              <w:pStyle w:val="Default"/>
              <w:jc w:val="both"/>
              <w:rPr>
                <w:bCs/>
              </w:rPr>
            </w:pPr>
            <w:r w:rsidRPr="00DD41F2">
              <w:rPr>
                <w:bCs/>
              </w:rPr>
              <w:t>(b) Estimation of iodine in iodized common salt using iodometric titration</w:t>
            </w:r>
          </w:p>
          <w:p w:rsidR="00DD41F2" w:rsidRPr="00DD41F2" w:rsidRDefault="00DD41F2" w:rsidP="00DD41F2">
            <w:pPr>
              <w:pStyle w:val="Default"/>
              <w:jc w:val="both"/>
              <w:rPr>
                <w:bCs/>
              </w:rPr>
            </w:pPr>
            <w:r w:rsidRPr="00DD41F2">
              <w:rPr>
                <w:bCs/>
              </w:rPr>
              <w:t xml:space="preserve">(c) Estimation of phosphoric acid in cola drinks by molybdenum </w:t>
            </w:r>
            <w:r w:rsidRPr="00DD41F2">
              <w:rPr>
                <w:bCs/>
              </w:rPr>
              <w:lastRenderedPageBreak/>
              <w:t>blue method</w:t>
            </w:r>
          </w:p>
          <w:p w:rsidR="00DD41F2" w:rsidRPr="00DD41F2" w:rsidRDefault="00DD41F2" w:rsidP="00DD41F2">
            <w:pPr>
              <w:pStyle w:val="Default"/>
              <w:jc w:val="both"/>
              <w:rPr>
                <w:bCs/>
              </w:rPr>
            </w:pPr>
            <w:r w:rsidRPr="00DD41F2">
              <w:rPr>
                <w:bCs/>
              </w:rPr>
              <w:t>(d) Estimation of calcium and magnesium by complexometric titration in different ores/hard water</w:t>
            </w:r>
          </w:p>
          <w:p w:rsidR="00DD41F2" w:rsidRPr="00DD41F2" w:rsidRDefault="00DD41F2" w:rsidP="00DD41F2">
            <w:pPr>
              <w:pStyle w:val="Default"/>
              <w:jc w:val="both"/>
              <w:rPr>
                <w:bCs/>
              </w:rPr>
            </w:pPr>
            <w:r w:rsidRPr="00DD41F2">
              <w:rPr>
                <w:bCs/>
              </w:rPr>
              <w:t>(e) Spectrophotometric estimations of (i) Fe(III) as [Fe(SCN)]</w:t>
            </w:r>
            <w:r w:rsidRPr="00DD41F2">
              <w:rPr>
                <w:bCs/>
                <w:vertAlign w:val="superscript"/>
              </w:rPr>
              <w:t>2+</w:t>
            </w:r>
            <w:r w:rsidRPr="00DD41F2">
              <w:rPr>
                <w:bCs/>
              </w:rPr>
              <w:t xml:space="preserve"> complex; (ii) Mn as MnO</w:t>
            </w:r>
            <w:r w:rsidRPr="00DD41F2">
              <w:rPr>
                <w:bCs/>
                <w:vertAlign w:val="superscript"/>
              </w:rPr>
              <w:t>4‒</w:t>
            </w:r>
            <w:r w:rsidRPr="00DD41F2">
              <w:rPr>
                <w:bCs/>
              </w:rPr>
              <w:t>; (iii) Fe(III) and Fe(II) in a mixture as [Fe(1,10-phenanthroline)</w:t>
            </w:r>
            <w:r w:rsidRPr="00DD41F2">
              <w:rPr>
                <w:bCs/>
                <w:vertAlign w:val="subscript"/>
              </w:rPr>
              <w:t>3</w:t>
            </w:r>
            <w:r w:rsidRPr="00DD41F2">
              <w:rPr>
                <w:bCs/>
              </w:rPr>
              <w:t>]</w:t>
            </w:r>
            <w:r w:rsidRPr="00DD41F2">
              <w:rPr>
                <w:bCs/>
                <w:vertAlign w:val="superscript"/>
              </w:rPr>
              <w:t>2+</w:t>
            </w:r>
            <w:r w:rsidRPr="00DD41F2">
              <w:rPr>
                <w:bCs/>
              </w:rPr>
              <w:t xml:space="preserve"> complex.</w:t>
            </w:r>
          </w:p>
          <w:p w:rsidR="00DD41F2" w:rsidRPr="00DD41F2" w:rsidRDefault="00DD41F2" w:rsidP="00DD41F2">
            <w:pPr>
              <w:pStyle w:val="Default"/>
              <w:jc w:val="both"/>
              <w:rPr>
                <w:bCs/>
              </w:rPr>
            </w:pPr>
            <w:r w:rsidRPr="00DD41F2">
              <w:rPr>
                <w:bCs/>
              </w:rPr>
              <w:t>(f) Analysis of kidney stones by permanganometric titration</w:t>
            </w:r>
          </w:p>
          <w:p w:rsidR="0081677A" w:rsidRPr="00DD41F2" w:rsidRDefault="0081677A" w:rsidP="0081677A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677A" w:rsidRPr="00DD41F2" w:rsidRDefault="0081677A" w:rsidP="0081677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677A" w:rsidRPr="00DD41F2" w:rsidRDefault="0081677A" w:rsidP="0081677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677A" w:rsidRDefault="0081677A" w:rsidP="0081677A">
      <w:pPr>
        <w:pStyle w:val="Normal1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DD41F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Essential Readings:</w:t>
      </w:r>
    </w:p>
    <w:p w:rsidR="00DD41F2" w:rsidRPr="00DD41F2" w:rsidRDefault="00DD41F2" w:rsidP="00DD41F2">
      <w:pPr>
        <w:pStyle w:val="Default"/>
        <w:numPr>
          <w:ilvl w:val="0"/>
          <w:numId w:val="10"/>
        </w:numPr>
        <w:jc w:val="both"/>
      </w:pPr>
      <w:r w:rsidRPr="00DD41F2">
        <w:t>J. Mendham, R. C. Denney, M. Thomas, B. Sivasankar and D. J. Barnes, “Vogel's Quantitative Chemical Analysis”, Pearson, 6</w:t>
      </w:r>
      <w:r w:rsidRPr="00DD41F2">
        <w:rPr>
          <w:vertAlign w:val="superscript"/>
        </w:rPr>
        <w:t>th</w:t>
      </w:r>
      <w:r w:rsidRPr="00DD41F2">
        <w:t xml:space="preserve"> Edition, 2009.</w:t>
      </w:r>
    </w:p>
    <w:p w:rsidR="00DD41F2" w:rsidRPr="00DD41F2" w:rsidRDefault="00DD41F2" w:rsidP="00DD41F2">
      <w:pPr>
        <w:pStyle w:val="Default"/>
        <w:numPr>
          <w:ilvl w:val="0"/>
          <w:numId w:val="10"/>
        </w:numPr>
        <w:jc w:val="both"/>
      </w:pPr>
      <w:r w:rsidRPr="00DD41F2">
        <w:rPr>
          <w:bCs/>
        </w:rPr>
        <w:t>G. Marr and B. W. Rockett, Practical Inorganic Chemistry, Van Nostrand, 1</w:t>
      </w:r>
      <w:r w:rsidRPr="00DD41F2">
        <w:rPr>
          <w:bCs/>
          <w:vertAlign w:val="superscript"/>
        </w:rPr>
        <w:t>st</w:t>
      </w:r>
      <w:r w:rsidRPr="00DD41F2">
        <w:rPr>
          <w:bCs/>
        </w:rPr>
        <w:t xml:space="preserve"> Edition, 1972.</w:t>
      </w:r>
    </w:p>
    <w:p w:rsidR="00DD41F2" w:rsidRPr="00DD41F2" w:rsidRDefault="00DD41F2" w:rsidP="0081677A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77A" w:rsidRPr="00DD41F2" w:rsidRDefault="0081677A" w:rsidP="0081677A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1F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Supplementary Readings:</w:t>
      </w:r>
    </w:p>
    <w:p w:rsidR="00DD41F2" w:rsidRPr="00DD41F2" w:rsidRDefault="00DD41F2" w:rsidP="00DD41F2">
      <w:pPr>
        <w:pStyle w:val="Default"/>
        <w:numPr>
          <w:ilvl w:val="0"/>
          <w:numId w:val="11"/>
        </w:numPr>
        <w:jc w:val="both"/>
      </w:pPr>
      <w:r w:rsidRPr="00DD41F2">
        <w:rPr>
          <w:bCs/>
        </w:rPr>
        <w:t>Departmental laboratory manuals.</w:t>
      </w:r>
    </w:p>
    <w:p w:rsidR="0081677A" w:rsidRPr="00DD41F2" w:rsidRDefault="0081677A" w:rsidP="0081677A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77A" w:rsidRPr="00DD41F2" w:rsidRDefault="0081677A" w:rsidP="0081677A">
      <w:pPr>
        <w:pStyle w:val="Default"/>
      </w:pPr>
    </w:p>
    <w:sectPr w:rsidR="0081677A" w:rsidRPr="00DD41F2" w:rsidSect="009A76A3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85B"/>
    <w:multiLevelType w:val="hybridMultilevel"/>
    <w:tmpl w:val="029A3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C3A28"/>
    <w:multiLevelType w:val="hybridMultilevel"/>
    <w:tmpl w:val="A0020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152BC"/>
    <w:multiLevelType w:val="multilevel"/>
    <w:tmpl w:val="D548A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11711"/>
    <w:multiLevelType w:val="multilevel"/>
    <w:tmpl w:val="35E03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DC3412D"/>
    <w:multiLevelType w:val="multilevel"/>
    <w:tmpl w:val="C9F43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2F99400D"/>
    <w:multiLevelType w:val="hybridMultilevel"/>
    <w:tmpl w:val="E03E5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608DF"/>
    <w:multiLevelType w:val="hybridMultilevel"/>
    <w:tmpl w:val="F7C84C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E3DF1"/>
    <w:multiLevelType w:val="hybridMultilevel"/>
    <w:tmpl w:val="1D8C03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31689"/>
    <w:multiLevelType w:val="multilevel"/>
    <w:tmpl w:val="3D7E56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533F67"/>
    <w:multiLevelType w:val="multilevel"/>
    <w:tmpl w:val="2A742D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02A21"/>
    <w:multiLevelType w:val="multilevel"/>
    <w:tmpl w:val="D548A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53F6C"/>
    <w:multiLevelType w:val="hybridMultilevel"/>
    <w:tmpl w:val="F7C84C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130127"/>
    <w:rsid w:val="000617FE"/>
    <w:rsid w:val="00084589"/>
    <w:rsid w:val="001117A9"/>
    <w:rsid w:val="00130127"/>
    <w:rsid w:val="00134273"/>
    <w:rsid w:val="00136B40"/>
    <w:rsid w:val="00155261"/>
    <w:rsid w:val="001B3250"/>
    <w:rsid w:val="001F1373"/>
    <w:rsid w:val="00202F41"/>
    <w:rsid w:val="002130E1"/>
    <w:rsid w:val="002471E0"/>
    <w:rsid w:val="00266CE5"/>
    <w:rsid w:val="002918ED"/>
    <w:rsid w:val="002B3276"/>
    <w:rsid w:val="00306104"/>
    <w:rsid w:val="00330A4F"/>
    <w:rsid w:val="00332512"/>
    <w:rsid w:val="0038408E"/>
    <w:rsid w:val="003F585B"/>
    <w:rsid w:val="00577DFA"/>
    <w:rsid w:val="005E03AF"/>
    <w:rsid w:val="005F534E"/>
    <w:rsid w:val="00645E7A"/>
    <w:rsid w:val="00693968"/>
    <w:rsid w:val="007D2CFE"/>
    <w:rsid w:val="007F0872"/>
    <w:rsid w:val="0081677A"/>
    <w:rsid w:val="00951BA9"/>
    <w:rsid w:val="00991E08"/>
    <w:rsid w:val="009A76A3"/>
    <w:rsid w:val="00A23584"/>
    <w:rsid w:val="00A41661"/>
    <w:rsid w:val="00B71D0C"/>
    <w:rsid w:val="00B870D1"/>
    <w:rsid w:val="00C30F23"/>
    <w:rsid w:val="00CC6ACD"/>
    <w:rsid w:val="00CF6DD8"/>
    <w:rsid w:val="00D31E3D"/>
    <w:rsid w:val="00D66E22"/>
    <w:rsid w:val="00D864D7"/>
    <w:rsid w:val="00DD41F2"/>
    <w:rsid w:val="00DE3226"/>
    <w:rsid w:val="00E32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6A3"/>
  </w:style>
  <w:style w:type="paragraph" w:styleId="Heading1">
    <w:name w:val="heading 1"/>
    <w:basedOn w:val="Normal1"/>
    <w:next w:val="Normal1"/>
    <w:rsid w:val="009A76A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A76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A76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A76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9A76A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9A76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A76A3"/>
  </w:style>
  <w:style w:type="paragraph" w:styleId="Title">
    <w:name w:val="Title"/>
    <w:basedOn w:val="Normal1"/>
    <w:next w:val="Normal1"/>
    <w:rsid w:val="009A76A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9A76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rsid w:val="009A76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rsid w:val="009A76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677A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1677A"/>
    <w:pPr>
      <w:suppressAutoHyphens/>
      <w:ind w:left="720"/>
      <w:contextualSpacing/>
    </w:pPr>
    <w:rPr>
      <w:rFonts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Default">
    <w:name w:val="Default"/>
    <w:rsid w:val="0081677A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1677A"/>
    <w:pPr>
      <w:suppressAutoHyphens/>
      <w:ind w:left="720"/>
      <w:contextualSpacing/>
    </w:pPr>
    <w:rPr>
      <w:rFonts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</dc:creator>
  <cp:lastModifiedBy>nitm</cp:lastModifiedBy>
  <cp:revision>20</cp:revision>
  <dcterms:created xsi:type="dcterms:W3CDTF">2019-04-24T12:36:00Z</dcterms:created>
  <dcterms:modified xsi:type="dcterms:W3CDTF">2019-07-08T04:40:00Z</dcterms:modified>
</cp:coreProperties>
</file>