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66" w:type="pct"/>
        <w:jc w:val="center"/>
        <w:tblLook w:val="04A0" w:firstRow="1" w:lastRow="0" w:firstColumn="1" w:lastColumn="0" w:noHBand="0" w:noVBand="1"/>
      </w:tblPr>
      <w:tblGrid>
        <w:gridCol w:w="586"/>
        <w:gridCol w:w="658"/>
        <w:gridCol w:w="560"/>
        <w:gridCol w:w="5211"/>
        <w:gridCol w:w="949"/>
        <w:gridCol w:w="769"/>
        <w:gridCol w:w="978"/>
        <w:gridCol w:w="639"/>
        <w:gridCol w:w="193"/>
        <w:gridCol w:w="842"/>
        <w:gridCol w:w="835"/>
        <w:gridCol w:w="683"/>
        <w:gridCol w:w="130"/>
        <w:gridCol w:w="801"/>
        <w:gridCol w:w="57"/>
        <w:gridCol w:w="380"/>
        <w:gridCol w:w="509"/>
        <w:gridCol w:w="1041"/>
      </w:tblGrid>
      <w:tr w:rsidR="003039C6" w:rsidRPr="00E60344" w14:paraId="20CE6419" w14:textId="77777777" w:rsidTr="00E56F9C">
        <w:trPr>
          <w:trHeight w:val="1557"/>
          <w:jc w:val="center"/>
        </w:trPr>
        <w:tc>
          <w:tcPr>
            <w:tcW w:w="570" w:type="pct"/>
            <w:gridSpan w:val="3"/>
            <w:vAlign w:val="center"/>
          </w:tcPr>
          <w:p w14:paraId="6E7D3309" w14:textId="77777777" w:rsidR="00A41C51" w:rsidRPr="00E60344" w:rsidRDefault="00881B97" w:rsidP="00A41C5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en-IN" w:eastAsia="en-IN"/>
              </w:rPr>
              <w:pict w14:anchorId="3F33E24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.95pt;margin-top:3.35pt;width:77.1pt;height:66.95pt;z-index:251658240" strokecolor="white [3212]">
                  <v:textbox style="mso-next-textbox:#_x0000_s1029">
                    <w:txbxContent>
                      <w:p w14:paraId="447DBF73" w14:textId="77777777"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 w:eastAsia="en-US" w:bidi="as-IN"/>
                          </w:rPr>
                          <w:drawing>
                            <wp:inline distT="0" distB="0" distL="0" distR="0" wp14:anchorId="727DA249" wp14:editId="1B2B2986">
                              <wp:extent cx="717331" cy="756744"/>
                              <wp:effectExtent l="0" t="0" r="0" b="0"/>
                              <wp:docPr id="1" name="Picture 1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704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802" w:type="pct"/>
            <w:gridSpan w:val="11"/>
            <w:vAlign w:val="center"/>
          </w:tcPr>
          <w:p w14:paraId="541BDC20" w14:textId="022D3547" w:rsidR="00A41C51" w:rsidRPr="00E60344" w:rsidRDefault="00A41C51" w:rsidP="009B13C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National Institute of Technology Meghalaya</w:t>
            </w:r>
          </w:p>
          <w:p w14:paraId="4BD89B34" w14:textId="77777777" w:rsidR="007F3158" w:rsidRPr="00E60344" w:rsidRDefault="00A41C51" w:rsidP="00573690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An Institute of National Importance</w:t>
            </w:r>
          </w:p>
        </w:tc>
        <w:tc>
          <w:tcPr>
            <w:tcW w:w="628" w:type="pct"/>
            <w:gridSpan w:val="4"/>
            <w:vAlign w:val="center"/>
          </w:tcPr>
          <w:p w14:paraId="4FC70317" w14:textId="77777777" w:rsidR="007F6E69" w:rsidRPr="00E60344" w:rsidRDefault="00573690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CURRICULUM</w:t>
            </w:r>
          </w:p>
        </w:tc>
      </w:tr>
      <w:tr w:rsidR="003039C6" w:rsidRPr="00E60344" w14:paraId="500DA53F" w14:textId="77777777" w:rsidTr="00E56F9C">
        <w:trPr>
          <w:trHeight w:val="340"/>
          <w:jc w:val="center"/>
        </w:trPr>
        <w:tc>
          <w:tcPr>
            <w:tcW w:w="570" w:type="pct"/>
            <w:gridSpan w:val="3"/>
            <w:vAlign w:val="center"/>
          </w:tcPr>
          <w:p w14:paraId="28E2C549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Programme</w:t>
            </w:r>
          </w:p>
        </w:tc>
        <w:tc>
          <w:tcPr>
            <w:tcW w:w="2701" w:type="pct"/>
            <w:gridSpan w:val="5"/>
          </w:tcPr>
          <w:p w14:paraId="1EB74FD2" w14:textId="54D31DD6" w:rsidR="009F02A3" w:rsidRPr="00E60344" w:rsidRDefault="0084237A" w:rsidP="008857E4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Master of Technology</w:t>
            </w:r>
          </w:p>
        </w:tc>
        <w:tc>
          <w:tcPr>
            <w:tcW w:w="1101" w:type="pct"/>
            <w:gridSpan w:val="6"/>
            <w:vAlign w:val="center"/>
          </w:tcPr>
          <w:p w14:paraId="797DFE02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Year of Regulation</w:t>
            </w:r>
          </w:p>
        </w:tc>
        <w:tc>
          <w:tcPr>
            <w:tcW w:w="628" w:type="pct"/>
            <w:gridSpan w:val="4"/>
            <w:vAlign w:val="center"/>
          </w:tcPr>
          <w:p w14:paraId="718680F2" w14:textId="273A29E1" w:rsidR="009F02A3" w:rsidRPr="00E60344" w:rsidRDefault="00E60344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2018-19</w:t>
            </w:r>
          </w:p>
        </w:tc>
      </w:tr>
      <w:tr w:rsidR="003039C6" w:rsidRPr="00E60344" w14:paraId="0291B6B3" w14:textId="77777777" w:rsidTr="00E56F9C">
        <w:trPr>
          <w:trHeight w:val="340"/>
          <w:jc w:val="center"/>
        </w:trPr>
        <w:tc>
          <w:tcPr>
            <w:tcW w:w="570" w:type="pct"/>
            <w:gridSpan w:val="3"/>
            <w:vAlign w:val="center"/>
          </w:tcPr>
          <w:p w14:paraId="368939EE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Department</w:t>
            </w:r>
          </w:p>
        </w:tc>
        <w:tc>
          <w:tcPr>
            <w:tcW w:w="2701" w:type="pct"/>
            <w:gridSpan w:val="5"/>
          </w:tcPr>
          <w:p w14:paraId="49802359" w14:textId="0001B87C" w:rsidR="009F02A3" w:rsidRPr="00E60344" w:rsidRDefault="009F02A3" w:rsidP="008857E4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Civil Engineering</w:t>
            </w:r>
          </w:p>
        </w:tc>
        <w:tc>
          <w:tcPr>
            <w:tcW w:w="1101" w:type="pct"/>
            <w:gridSpan w:val="6"/>
            <w:vAlign w:val="center"/>
          </w:tcPr>
          <w:p w14:paraId="53D8D689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Semester</w:t>
            </w:r>
          </w:p>
        </w:tc>
        <w:tc>
          <w:tcPr>
            <w:tcW w:w="628" w:type="pct"/>
            <w:gridSpan w:val="4"/>
            <w:vAlign w:val="center"/>
          </w:tcPr>
          <w:p w14:paraId="40AB315E" w14:textId="05AC39B3" w:rsidR="009F02A3" w:rsidRPr="00E60344" w:rsidRDefault="009F02A3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I</w:t>
            </w:r>
          </w:p>
        </w:tc>
      </w:tr>
      <w:tr w:rsidR="0084237A" w:rsidRPr="00E60344" w14:paraId="32C22E3B" w14:textId="77777777" w:rsidTr="008E6508">
        <w:trPr>
          <w:trHeight w:val="340"/>
          <w:jc w:val="center"/>
        </w:trPr>
        <w:tc>
          <w:tcPr>
            <w:tcW w:w="393" w:type="pct"/>
            <w:gridSpan w:val="2"/>
            <w:vMerge w:val="restart"/>
            <w:vAlign w:val="center"/>
          </w:tcPr>
          <w:p w14:paraId="2B1A9272" w14:textId="77777777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Course</w:t>
            </w:r>
          </w:p>
          <w:p w14:paraId="3570F9B5" w14:textId="77777777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Code</w:t>
            </w:r>
          </w:p>
        </w:tc>
        <w:tc>
          <w:tcPr>
            <w:tcW w:w="1824" w:type="pct"/>
            <w:gridSpan w:val="2"/>
            <w:vMerge w:val="restart"/>
            <w:vAlign w:val="center"/>
          </w:tcPr>
          <w:p w14:paraId="2450B7E5" w14:textId="77777777" w:rsidR="0084237A" w:rsidRPr="00E60344" w:rsidRDefault="0084237A" w:rsidP="00A41C51">
            <w:pPr>
              <w:jc w:val="center"/>
            </w:pPr>
            <w:r w:rsidRPr="00E60344">
              <w:rPr>
                <w:sz w:val="24"/>
                <w:szCs w:val="24"/>
              </w:rPr>
              <w:t>Course Name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14:paraId="4A285A83" w14:textId="192DC4FB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Pre requisites</w:t>
            </w:r>
          </w:p>
        </w:tc>
        <w:tc>
          <w:tcPr>
            <w:tcW w:w="1102" w:type="pct"/>
            <w:gridSpan w:val="5"/>
            <w:vAlign w:val="center"/>
          </w:tcPr>
          <w:p w14:paraId="0925318E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Credit Structure</w:t>
            </w:r>
          </w:p>
        </w:tc>
        <w:tc>
          <w:tcPr>
            <w:tcW w:w="1138" w:type="pct"/>
            <w:gridSpan w:val="7"/>
            <w:vAlign w:val="center"/>
          </w:tcPr>
          <w:p w14:paraId="72EABF84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Marks Distribution</w:t>
            </w:r>
          </w:p>
        </w:tc>
      </w:tr>
      <w:tr w:rsidR="0084237A" w:rsidRPr="00E60344" w14:paraId="24057AF0" w14:textId="77777777" w:rsidTr="008E6508">
        <w:trPr>
          <w:trHeight w:val="388"/>
          <w:jc w:val="center"/>
        </w:trPr>
        <w:tc>
          <w:tcPr>
            <w:tcW w:w="393" w:type="pct"/>
            <w:gridSpan w:val="2"/>
            <w:vMerge/>
            <w:vAlign w:val="center"/>
          </w:tcPr>
          <w:p w14:paraId="5E7449E6" w14:textId="77777777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pct"/>
            <w:gridSpan w:val="2"/>
            <w:vMerge/>
            <w:vAlign w:val="center"/>
          </w:tcPr>
          <w:p w14:paraId="27F718A0" w14:textId="77777777" w:rsidR="0084237A" w:rsidRPr="00E60344" w:rsidRDefault="0084237A" w:rsidP="00A41C51">
            <w:pPr>
              <w:jc w:val="center"/>
            </w:pPr>
          </w:p>
        </w:tc>
        <w:tc>
          <w:tcPr>
            <w:tcW w:w="543" w:type="pct"/>
            <w:gridSpan w:val="2"/>
            <w:vMerge/>
            <w:vAlign w:val="center"/>
          </w:tcPr>
          <w:p w14:paraId="2E43ECCC" w14:textId="3179C7EA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7EE02BB1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L</w:t>
            </w:r>
          </w:p>
        </w:tc>
        <w:tc>
          <w:tcPr>
            <w:tcW w:w="263" w:type="pct"/>
            <w:gridSpan w:val="2"/>
            <w:vAlign w:val="center"/>
          </w:tcPr>
          <w:p w14:paraId="78F9207B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T</w:t>
            </w:r>
          </w:p>
        </w:tc>
        <w:tc>
          <w:tcPr>
            <w:tcW w:w="266" w:type="pct"/>
            <w:vAlign w:val="center"/>
          </w:tcPr>
          <w:p w14:paraId="08600034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P</w:t>
            </w:r>
          </w:p>
        </w:tc>
        <w:tc>
          <w:tcPr>
            <w:tcW w:w="264" w:type="pct"/>
            <w:vAlign w:val="center"/>
          </w:tcPr>
          <w:p w14:paraId="65F4858F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</w:t>
            </w:r>
          </w:p>
        </w:tc>
        <w:tc>
          <w:tcPr>
            <w:tcW w:w="257" w:type="pct"/>
            <w:gridSpan w:val="2"/>
            <w:vAlign w:val="center"/>
          </w:tcPr>
          <w:p w14:paraId="70B4A167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INT</w:t>
            </w:r>
          </w:p>
        </w:tc>
        <w:tc>
          <w:tcPr>
            <w:tcW w:w="271" w:type="pct"/>
            <w:gridSpan w:val="2"/>
            <w:vAlign w:val="center"/>
          </w:tcPr>
          <w:p w14:paraId="5CA0E02E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MID</w:t>
            </w:r>
          </w:p>
        </w:tc>
        <w:tc>
          <w:tcPr>
            <w:tcW w:w="281" w:type="pct"/>
            <w:gridSpan w:val="2"/>
            <w:vAlign w:val="center"/>
          </w:tcPr>
          <w:p w14:paraId="22C536FB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END</w:t>
            </w:r>
          </w:p>
        </w:tc>
        <w:tc>
          <w:tcPr>
            <w:tcW w:w="329" w:type="pct"/>
            <w:vAlign w:val="center"/>
          </w:tcPr>
          <w:p w14:paraId="02DAEEBD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Total</w:t>
            </w:r>
          </w:p>
        </w:tc>
      </w:tr>
      <w:tr w:rsidR="0084237A" w:rsidRPr="00E60344" w14:paraId="6EEDB9B5" w14:textId="77777777" w:rsidTr="008E6508">
        <w:trPr>
          <w:trHeight w:val="340"/>
          <w:jc w:val="center"/>
        </w:trPr>
        <w:tc>
          <w:tcPr>
            <w:tcW w:w="393" w:type="pct"/>
            <w:gridSpan w:val="2"/>
            <w:vAlign w:val="center"/>
          </w:tcPr>
          <w:p w14:paraId="014A1E76" w14:textId="42E0D1D4" w:rsidR="0084237A" w:rsidRPr="00E60344" w:rsidRDefault="00E60344" w:rsidP="00E60344">
            <w:pPr>
              <w:jc w:val="center"/>
              <w:rPr>
                <w:b/>
                <w:sz w:val="24"/>
                <w:szCs w:val="30"/>
                <w:lang w:bidi="as-IN"/>
              </w:rPr>
            </w:pPr>
            <w:r w:rsidRPr="00E60344">
              <w:rPr>
                <w:b/>
                <w:sz w:val="24"/>
                <w:szCs w:val="24"/>
              </w:rPr>
              <w:t>CE5</w:t>
            </w:r>
            <w:r w:rsidR="002B04AE">
              <w:rPr>
                <w:b/>
                <w:sz w:val="24"/>
                <w:szCs w:val="30"/>
                <w:lang w:bidi="as-IN"/>
              </w:rPr>
              <w:t>11</w:t>
            </w:r>
          </w:p>
        </w:tc>
        <w:tc>
          <w:tcPr>
            <w:tcW w:w="1824" w:type="pct"/>
            <w:gridSpan w:val="2"/>
            <w:vAlign w:val="center"/>
          </w:tcPr>
          <w:p w14:paraId="48C3C372" w14:textId="517BE916" w:rsidR="0084237A" w:rsidRPr="005E5E8E" w:rsidRDefault="002B04AE" w:rsidP="00A41C51">
            <w:pPr>
              <w:jc w:val="center"/>
              <w:rPr>
                <w:b/>
              </w:rPr>
            </w:pPr>
            <w:r>
              <w:rPr>
                <w:b/>
                <w:bCs/>
                <w:lang w:val="en-US"/>
              </w:rPr>
              <w:t>Advance Fluid Mechanics</w:t>
            </w:r>
          </w:p>
        </w:tc>
        <w:tc>
          <w:tcPr>
            <w:tcW w:w="543" w:type="pct"/>
            <w:gridSpan w:val="2"/>
            <w:vAlign w:val="center"/>
          </w:tcPr>
          <w:p w14:paraId="137F541C" w14:textId="0BEA9F7D" w:rsidR="0084237A" w:rsidRPr="00E60344" w:rsidRDefault="0084237A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None</w:t>
            </w:r>
          </w:p>
        </w:tc>
        <w:tc>
          <w:tcPr>
            <w:tcW w:w="309" w:type="pct"/>
            <w:vAlign w:val="center"/>
          </w:tcPr>
          <w:p w14:paraId="16CA7557" w14:textId="360DC19D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3" w:type="pct"/>
            <w:gridSpan w:val="2"/>
            <w:vAlign w:val="center"/>
          </w:tcPr>
          <w:p w14:paraId="70044E4D" w14:textId="42393652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6" w:type="pct"/>
            <w:vAlign w:val="center"/>
          </w:tcPr>
          <w:p w14:paraId="703CD14D" w14:textId="74BB0E5F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4" w:type="pct"/>
            <w:vAlign w:val="center"/>
          </w:tcPr>
          <w:p w14:paraId="683659CD" w14:textId="30B60D67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7" w:type="pct"/>
            <w:gridSpan w:val="2"/>
            <w:vAlign w:val="center"/>
          </w:tcPr>
          <w:p w14:paraId="4E5812F0" w14:textId="6036F686" w:rsidR="0084237A" w:rsidRPr="00E60344" w:rsidRDefault="0084237A" w:rsidP="007A3DB3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71" w:type="pct"/>
            <w:gridSpan w:val="2"/>
            <w:vAlign w:val="center"/>
          </w:tcPr>
          <w:p w14:paraId="017E2AA7" w14:textId="379C52D1" w:rsidR="0084237A" w:rsidRPr="00E60344" w:rsidRDefault="0084237A" w:rsidP="007A3DB3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81" w:type="pct"/>
            <w:gridSpan w:val="2"/>
            <w:vAlign w:val="center"/>
          </w:tcPr>
          <w:p w14:paraId="23DB51E3" w14:textId="2BB608D9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29" w:type="pct"/>
            <w:vAlign w:val="center"/>
          </w:tcPr>
          <w:p w14:paraId="2FE13CFE" w14:textId="7FBD4FCC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100</w:t>
            </w:r>
          </w:p>
        </w:tc>
      </w:tr>
      <w:tr w:rsidR="005E5E8E" w:rsidRPr="00E60344" w14:paraId="25E002E9" w14:textId="77777777" w:rsidTr="004E2C63">
        <w:trPr>
          <w:trHeight w:val="522"/>
          <w:jc w:val="center"/>
        </w:trPr>
        <w:tc>
          <w:tcPr>
            <w:tcW w:w="393" w:type="pct"/>
            <w:gridSpan w:val="2"/>
            <w:vMerge w:val="restart"/>
            <w:vAlign w:val="center"/>
          </w:tcPr>
          <w:p w14:paraId="30FA4200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Course</w:t>
            </w:r>
          </w:p>
          <w:p w14:paraId="0BC2CD8C" w14:textId="77777777" w:rsidR="005E5E8E" w:rsidRPr="00E60344" w:rsidRDefault="005E5E8E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Objectives</w:t>
            </w:r>
          </w:p>
        </w:tc>
        <w:tc>
          <w:tcPr>
            <w:tcW w:w="2124" w:type="pct"/>
            <w:gridSpan w:val="3"/>
            <w:vMerge w:val="restart"/>
            <w:vAlign w:val="center"/>
          </w:tcPr>
          <w:p w14:paraId="3D05CB08" w14:textId="12C33308" w:rsidR="002B04AE" w:rsidRPr="002B04AE" w:rsidRDefault="002B04AE" w:rsidP="002B04AE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2B04AE">
              <w:rPr>
                <w:rStyle w:val="markedcontent"/>
                <w:rFonts w:ascii="Times New Roman" w:hAnsi="Times New Roman" w:cs="Times New Roman"/>
              </w:rPr>
              <w:t xml:space="preserve">To enable students deriving the partial differential equations governing the conservation of mass, momentum, and energy of an incompressible fluid, exact solution of </w:t>
            </w:r>
            <w:proofErr w:type="spellStart"/>
            <w:r w:rsidRPr="002B04AE">
              <w:rPr>
                <w:rStyle w:val="markedcontent"/>
                <w:rFonts w:ascii="Times New Roman" w:hAnsi="Times New Roman" w:cs="Times New Roman"/>
              </w:rPr>
              <w:t>Navier</w:t>
            </w:r>
            <w:proofErr w:type="spellEnd"/>
            <w:r w:rsidRPr="002B04AE">
              <w:rPr>
                <w:rStyle w:val="markedcontent"/>
                <w:rFonts w:ascii="Times New Roman" w:hAnsi="Times New Roman" w:cs="Times New Roman"/>
              </w:rPr>
              <w:t xml:space="preserve"> stokes equation for simple cases</w:t>
            </w:r>
            <w:r>
              <w:rPr>
                <w:rStyle w:val="markedcontent"/>
                <w:rFonts w:ascii="Times New Roman" w:hAnsi="Times New Roman" w:cs="Times New Roman"/>
              </w:rPr>
              <w:t>.</w:t>
            </w:r>
            <w:r w:rsidRPr="002B04AE">
              <w:rPr>
                <w:rStyle w:val="markedcontent"/>
                <w:rFonts w:ascii="Times New Roman" w:hAnsi="Times New Roman" w:cs="Times New Roman"/>
              </w:rPr>
              <w:t xml:space="preserve"> </w:t>
            </w:r>
          </w:p>
          <w:p w14:paraId="4B543BA4" w14:textId="7819D9BE" w:rsidR="005E5E8E" w:rsidRPr="005E5E8E" w:rsidRDefault="002B04AE" w:rsidP="002B04AE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</w:t>
            </w:r>
            <w:r w:rsidRPr="002B04AE">
              <w:rPr>
                <w:rFonts w:ascii="Times New Roman" w:eastAsia="Times New Roman" w:hAnsi="Times New Roman" w:cs="Times New Roman"/>
                <w:bCs/>
              </w:rPr>
              <w:t>o solve boundary layer and closed conduit real life flow problems.</w:t>
            </w:r>
          </w:p>
        </w:tc>
        <w:tc>
          <w:tcPr>
            <w:tcW w:w="552" w:type="pct"/>
            <w:gridSpan w:val="2"/>
            <w:vMerge w:val="restart"/>
            <w:vAlign w:val="center"/>
          </w:tcPr>
          <w:p w14:paraId="7980DCDD" w14:textId="77777777" w:rsidR="005E5E8E" w:rsidRPr="005E5E8E" w:rsidRDefault="005E5E8E" w:rsidP="005E5E8E">
            <w:pPr>
              <w:jc w:val="center"/>
              <w:rPr>
                <w:bCs/>
              </w:rPr>
            </w:pPr>
            <w:r w:rsidRPr="005E5E8E">
              <w:rPr>
                <w:bCs/>
                <w:sz w:val="24"/>
                <w:szCs w:val="24"/>
              </w:rPr>
              <w:t>Course Outcomes</w:t>
            </w:r>
          </w:p>
        </w:tc>
        <w:tc>
          <w:tcPr>
            <w:tcW w:w="263" w:type="pct"/>
            <w:gridSpan w:val="2"/>
            <w:vAlign w:val="center"/>
          </w:tcPr>
          <w:p w14:paraId="5FA605C4" w14:textId="77777777" w:rsidR="005E5E8E" w:rsidRPr="005E5E8E" w:rsidRDefault="005E5E8E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CO1</w:t>
            </w:r>
          </w:p>
        </w:tc>
        <w:tc>
          <w:tcPr>
            <w:tcW w:w="1668" w:type="pct"/>
            <w:gridSpan w:val="9"/>
            <w:vAlign w:val="center"/>
          </w:tcPr>
          <w:p w14:paraId="7F38173A" w14:textId="0FA04FB2" w:rsidR="005E5E8E" w:rsidRPr="002B04AE" w:rsidRDefault="002B04AE" w:rsidP="00881B97">
            <w:pPr>
              <w:rPr>
                <w:rFonts w:eastAsia="Times New Roman"/>
                <w:bCs/>
              </w:rPr>
            </w:pPr>
            <w:r w:rsidRPr="002B04AE">
              <w:rPr>
                <w:rStyle w:val="markedcontent"/>
              </w:rPr>
              <w:t>Able to formulate and solve problems involving partial differential equations governing the conservation of mass, momentum, and energy of an incompressible fluid</w:t>
            </w:r>
          </w:p>
        </w:tc>
      </w:tr>
      <w:tr w:rsidR="005E5E8E" w:rsidRPr="00E60344" w14:paraId="08B5CD97" w14:textId="77777777" w:rsidTr="004E2C63">
        <w:trPr>
          <w:trHeight w:val="529"/>
          <w:jc w:val="center"/>
        </w:trPr>
        <w:tc>
          <w:tcPr>
            <w:tcW w:w="39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DDC5B6B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9ABE93F" w14:textId="08E778E3" w:rsidR="005E5E8E" w:rsidRPr="005E5E8E" w:rsidRDefault="005E5E8E" w:rsidP="005E5E8E">
            <w:pPr>
              <w:pStyle w:val="NoSpacing"/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31FD367" w14:textId="77777777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center"/>
          </w:tcPr>
          <w:p w14:paraId="36FDF521" w14:textId="77777777" w:rsidR="005E5E8E" w:rsidRPr="005E5E8E" w:rsidRDefault="005E5E8E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CO2</w:t>
            </w:r>
          </w:p>
        </w:tc>
        <w:tc>
          <w:tcPr>
            <w:tcW w:w="1668" w:type="pct"/>
            <w:gridSpan w:val="9"/>
            <w:tcBorders>
              <w:bottom w:val="single" w:sz="4" w:space="0" w:color="auto"/>
            </w:tcBorders>
            <w:vAlign w:val="center"/>
          </w:tcPr>
          <w:p w14:paraId="47B1BD3E" w14:textId="7314FE8F" w:rsidR="005E5E8E" w:rsidRPr="002B04AE" w:rsidRDefault="002B04AE" w:rsidP="006E1A8E">
            <w:pPr>
              <w:rPr>
                <w:rFonts w:eastAsia="Times New Roman"/>
                <w:bCs/>
              </w:rPr>
            </w:pPr>
            <w:r w:rsidRPr="002B04AE">
              <w:rPr>
                <w:rStyle w:val="markedcontent"/>
              </w:rPr>
              <w:t xml:space="preserve">Able to obtain dimensionless form of </w:t>
            </w:r>
            <w:proofErr w:type="spellStart"/>
            <w:r w:rsidRPr="002B04AE">
              <w:rPr>
                <w:rStyle w:val="markedcontent"/>
              </w:rPr>
              <w:t>Navier</w:t>
            </w:r>
            <w:proofErr w:type="spellEnd"/>
            <w:r w:rsidRPr="002B04AE">
              <w:rPr>
                <w:rStyle w:val="markedcontent"/>
              </w:rPr>
              <w:t xml:space="preserve"> stokes equations</w:t>
            </w:r>
          </w:p>
        </w:tc>
      </w:tr>
      <w:tr w:rsidR="005E5E8E" w:rsidRPr="00E60344" w14:paraId="7AFEE6CA" w14:textId="77777777" w:rsidTr="00E60344">
        <w:trPr>
          <w:trHeight w:val="953"/>
          <w:jc w:val="center"/>
        </w:trPr>
        <w:tc>
          <w:tcPr>
            <w:tcW w:w="39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19CDA12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vMerge/>
            <w:vAlign w:val="center"/>
          </w:tcPr>
          <w:p w14:paraId="3966B191" w14:textId="04B0BF9A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55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3B6D707" w14:textId="77777777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center"/>
          </w:tcPr>
          <w:p w14:paraId="0863E8BC" w14:textId="77777777" w:rsidR="005E5E8E" w:rsidRPr="005E5E8E" w:rsidRDefault="005E5E8E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CO3</w:t>
            </w:r>
          </w:p>
        </w:tc>
        <w:tc>
          <w:tcPr>
            <w:tcW w:w="1668" w:type="pct"/>
            <w:gridSpan w:val="9"/>
            <w:tcBorders>
              <w:bottom w:val="single" w:sz="4" w:space="0" w:color="auto"/>
            </w:tcBorders>
            <w:vAlign w:val="center"/>
          </w:tcPr>
          <w:p w14:paraId="7BE428D1" w14:textId="5001E9B6" w:rsidR="005E5E8E" w:rsidRPr="002B04AE" w:rsidRDefault="002B04AE" w:rsidP="00881B97">
            <w:pPr>
              <w:rPr>
                <w:bCs/>
              </w:rPr>
            </w:pPr>
            <w:r w:rsidRPr="002B04AE">
              <w:rPr>
                <w:rStyle w:val="markedcontent"/>
              </w:rPr>
              <w:t>Able to apply integral form of the boundary layer equations to derive</w:t>
            </w:r>
            <w:r w:rsidR="00881B97">
              <w:rPr>
                <w:rStyle w:val="markedcontent"/>
              </w:rPr>
              <w:t xml:space="preserve"> </w:t>
            </w:r>
            <w:r w:rsidRPr="002B04AE">
              <w:rPr>
                <w:rStyle w:val="markedcontent"/>
              </w:rPr>
              <w:t>expressions for boundary layer thickness, displacement thickness, momentum thickness and overall drag</w:t>
            </w:r>
          </w:p>
        </w:tc>
      </w:tr>
      <w:tr w:rsidR="005E5E8E" w:rsidRPr="00E60344" w14:paraId="2669D6F1" w14:textId="77777777" w:rsidTr="004E2C63">
        <w:trPr>
          <w:trHeight w:val="611"/>
          <w:jc w:val="center"/>
        </w:trPr>
        <w:tc>
          <w:tcPr>
            <w:tcW w:w="393" w:type="pct"/>
            <w:gridSpan w:val="2"/>
            <w:vMerge/>
            <w:vAlign w:val="center"/>
          </w:tcPr>
          <w:p w14:paraId="1FE8BFCE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vMerge/>
            <w:vAlign w:val="center"/>
          </w:tcPr>
          <w:p w14:paraId="3F131562" w14:textId="67EF38E9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552" w:type="pct"/>
            <w:gridSpan w:val="2"/>
            <w:vMerge/>
            <w:vAlign w:val="center"/>
          </w:tcPr>
          <w:p w14:paraId="5A281862" w14:textId="77777777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263" w:type="pct"/>
            <w:gridSpan w:val="2"/>
            <w:vAlign w:val="center"/>
          </w:tcPr>
          <w:p w14:paraId="4F3C41E4" w14:textId="78CF513B" w:rsidR="005E5E8E" w:rsidRPr="005E5E8E" w:rsidRDefault="005E5E8E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CO4</w:t>
            </w:r>
          </w:p>
        </w:tc>
        <w:tc>
          <w:tcPr>
            <w:tcW w:w="1668" w:type="pct"/>
            <w:gridSpan w:val="9"/>
            <w:vAlign w:val="center"/>
          </w:tcPr>
          <w:p w14:paraId="55B89CF2" w14:textId="721C5084" w:rsidR="005E5E8E" w:rsidRPr="005E5E8E" w:rsidRDefault="00881B97" w:rsidP="00881B97">
            <w:pPr>
              <w:rPr>
                <w:rFonts w:eastAsia="Times New Roman"/>
                <w:bCs/>
              </w:rPr>
            </w:pPr>
            <w:r>
              <w:rPr>
                <w:rStyle w:val="markedcontent"/>
              </w:rPr>
              <w:t>A</w:t>
            </w:r>
            <w:r w:rsidRPr="002B04AE">
              <w:rPr>
                <w:rStyle w:val="markedcontent"/>
              </w:rPr>
              <w:t>ble to solve pipe flow problems</w:t>
            </w:r>
          </w:p>
        </w:tc>
      </w:tr>
      <w:tr w:rsidR="005E5E8E" w:rsidRPr="00E60344" w14:paraId="335C53B2" w14:textId="77777777" w:rsidTr="004E2C63">
        <w:trPr>
          <w:trHeight w:val="549"/>
          <w:jc w:val="center"/>
        </w:trPr>
        <w:tc>
          <w:tcPr>
            <w:tcW w:w="393" w:type="pct"/>
            <w:gridSpan w:val="2"/>
            <w:vMerge/>
            <w:vAlign w:val="center"/>
          </w:tcPr>
          <w:p w14:paraId="6FCCA8C6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vMerge/>
            <w:vAlign w:val="center"/>
          </w:tcPr>
          <w:p w14:paraId="1973A41A" w14:textId="77777777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552" w:type="pct"/>
            <w:gridSpan w:val="2"/>
            <w:vMerge/>
            <w:vAlign w:val="center"/>
          </w:tcPr>
          <w:p w14:paraId="046B29C7" w14:textId="77777777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263" w:type="pct"/>
            <w:gridSpan w:val="2"/>
            <w:vAlign w:val="center"/>
          </w:tcPr>
          <w:p w14:paraId="5ADACB20" w14:textId="77777777" w:rsidR="005E5E8E" w:rsidRPr="005E5E8E" w:rsidRDefault="005E5E8E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CO5</w:t>
            </w:r>
          </w:p>
          <w:p w14:paraId="1E2E70D7" w14:textId="5303FBAC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1668" w:type="pct"/>
            <w:gridSpan w:val="9"/>
            <w:vAlign w:val="center"/>
          </w:tcPr>
          <w:p w14:paraId="76ABAEC3" w14:textId="3E2AE426" w:rsidR="005E5E8E" w:rsidRPr="005E5E8E" w:rsidRDefault="005E5E8E" w:rsidP="005E5E8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</w:tc>
      </w:tr>
      <w:tr w:rsidR="005E5E8E" w:rsidRPr="00E60344" w14:paraId="37CBB18C" w14:textId="77777777" w:rsidTr="00EF18DB">
        <w:trPr>
          <w:trHeight w:val="340"/>
          <w:jc w:val="center"/>
        </w:trPr>
        <w:tc>
          <w:tcPr>
            <w:tcW w:w="5000" w:type="pct"/>
            <w:gridSpan w:val="18"/>
            <w:vAlign w:val="center"/>
          </w:tcPr>
          <w:p w14:paraId="2F1445EF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SYLLABUS</w:t>
            </w:r>
          </w:p>
        </w:tc>
      </w:tr>
      <w:tr w:rsidR="005E5E8E" w:rsidRPr="00E60344" w14:paraId="2C684105" w14:textId="77777777" w:rsidTr="008B3A67">
        <w:trPr>
          <w:trHeight w:val="340"/>
          <w:jc w:val="center"/>
        </w:trPr>
        <w:tc>
          <w:tcPr>
            <w:tcW w:w="185" w:type="pct"/>
            <w:vAlign w:val="center"/>
          </w:tcPr>
          <w:p w14:paraId="1C672BE4" w14:textId="77777777" w:rsidR="005E5E8E" w:rsidRPr="00E60344" w:rsidRDefault="005E5E8E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3893" w:type="pct"/>
            <w:gridSpan w:val="11"/>
            <w:vAlign w:val="center"/>
          </w:tcPr>
          <w:p w14:paraId="3D0B901D" w14:textId="77777777" w:rsidR="005E5E8E" w:rsidRPr="00E60344" w:rsidRDefault="005E5E8E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432" w:type="pct"/>
            <w:gridSpan w:val="4"/>
            <w:vAlign w:val="center"/>
          </w:tcPr>
          <w:p w14:paraId="7FA46A8B" w14:textId="77777777" w:rsidR="005E5E8E" w:rsidRPr="00E60344" w:rsidRDefault="005E5E8E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490" w:type="pct"/>
            <w:gridSpan w:val="2"/>
            <w:vAlign w:val="center"/>
          </w:tcPr>
          <w:p w14:paraId="619857AC" w14:textId="77777777" w:rsidR="005E5E8E" w:rsidRPr="00E60344" w:rsidRDefault="005E5E8E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COs</w:t>
            </w:r>
          </w:p>
        </w:tc>
      </w:tr>
      <w:tr w:rsidR="006E1A8E" w:rsidRPr="00E60344" w14:paraId="327C4F17" w14:textId="77777777" w:rsidTr="00A54C2B">
        <w:trPr>
          <w:trHeight w:val="882"/>
          <w:jc w:val="center"/>
        </w:trPr>
        <w:tc>
          <w:tcPr>
            <w:tcW w:w="185" w:type="pct"/>
            <w:vAlign w:val="center"/>
          </w:tcPr>
          <w:p w14:paraId="369326FF" w14:textId="4D738A3E" w:rsidR="006E1A8E" w:rsidRPr="005E5E8E" w:rsidRDefault="006E1A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I</w:t>
            </w:r>
          </w:p>
        </w:tc>
        <w:tc>
          <w:tcPr>
            <w:tcW w:w="3893" w:type="pct"/>
            <w:gridSpan w:val="11"/>
            <w:vAlign w:val="center"/>
          </w:tcPr>
          <w:p w14:paraId="235A045C" w14:textId="77777777" w:rsidR="002B04AE" w:rsidRPr="002B04AE" w:rsidRDefault="002B04AE" w:rsidP="002B04AE">
            <w:pPr>
              <w:jc w:val="both"/>
              <w:rPr>
                <w:rStyle w:val="markedcontent"/>
                <w:b/>
                <w:bCs/>
              </w:rPr>
            </w:pPr>
            <w:r w:rsidRPr="002B04AE">
              <w:rPr>
                <w:rStyle w:val="markedcontent"/>
                <w:b/>
                <w:bCs/>
              </w:rPr>
              <w:t xml:space="preserve">Introduction </w:t>
            </w:r>
          </w:p>
          <w:p w14:paraId="66A00BA1" w14:textId="4F66134A" w:rsidR="006E1A8E" w:rsidRPr="002B04AE" w:rsidRDefault="002B04AE" w:rsidP="002B04AE">
            <w:pPr>
              <w:jc w:val="both"/>
              <w:rPr>
                <w:rFonts w:eastAsia="Times New Roman"/>
              </w:rPr>
            </w:pPr>
            <w:r w:rsidRPr="002B04AE">
              <w:rPr>
                <w:rStyle w:val="markedcontent"/>
              </w:rPr>
              <w:t>Introduction to Cartesian tensors and tensor operations, Spatial (</w:t>
            </w:r>
            <w:proofErr w:type="spellStart"/>
            <w:r w:rsidRPr="002B04AE">
              <w:rPr>
                <w:rStyle w:val="markedcontent"/>
              </w:rPr>
              <w:t>Eulerian</w:t>
            </w:r>
            <w:proofErr w:type="spellEnd"/>
            <w:r w:rsidRPr="002B04AE">
              <w:rPr>
                <w:rStyle w:val="markedcontent"/>
              </w:rPr>
              <w:t>) and Material (</w:t>
            </w:r>
            <w:proofErr w:type="spellStart"/>
            <w:r w:rsidRPr="002B04AE">
              <w:rPr>
                <w:rStyle w:val="markedcontent"/>
              </w:rPr>
              <w:t>Lagrangian</w:t>
            </w:r>
            <w:proofErr w:type="spellEnd"/>
            <w:r w:rsidRPr="002B04AE">
              <w:rPr>
                <w:rStyle w:val="markedcontent"/>
              </w:rPr>
              <w:t>) approach.</w:t>
            </w:r>
          </w:p>
        </w:tc>
        <w:tc>
          <w:tcPr>
            <w:tcW w:w="432" w:type="pct"/>
            <w:gridSpan w:val="4"/>
            <w:vAlign w:val="center"/>
          </w:tcPr>
          <w:p w14:paraId="24EB1281" w14:textId="409178A6" w:rsidR="006E1A8E" w:rsidRPr="00621EA0" w:rsidRDefault="006E1A8E" w:rsidP="00007C0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21EA0">
              <w:rPr>
                <w:bCs/>
              </w:rPr>
              <w:t>06</w:t>
            </w:r>
          </w:p>
        </w:tc>
        <w:tc>
          <w:tcPr>
            <w:tcW w:w="490" w:type="pct"/>
            <w:gridSpan w:val="2"/>
            <w:vAlign w:val="center"/>
          </w:tcPr>
          <w:p w14:paraId="6931B1BB" w14:textId="06319007" w:rsidR="006E1A8E" w:rsidRPr="005E5E8E" w:rsidRDefault="006E1A8E" w:rsidP="00DE782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E5E8E">
              <w:rPr>
                <w:bCs/>
              </w:rPr>
              <w:t>CO1</w:t>
            </w:r>
          </w:p>
        </w:tc>
      </w:tr>
      <w:tr w:rsidR="006E1A8E" w:rsidRPr="00E60344" w14:paraId="5EE69228" w14:textId="77777777" w:rsidTr="00A54C2B">
        <w:trPr>
          <w:trHeight w:val="541"/>
          <w:jc w:val="center"/>
        </w:trPr>
        <w:tc>
          <w:tcPr>
            <w:tcW w:w="185" w:type="pct"/>
            <w:vAlign w:val="center"/>
          </w:tcPr>
          <w:p w14:paraId="21D8DA57" w14:textId="05A43237" w:rsidR="006E1A8E" w:rsidRPr="005E5E8E" w:rsidRDefault="006E1A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II</w:t>
            </w:r>
          </w:p>
        </w:tc>
        <w:tc>
          <w:tcPr>
            <w:tcW w:w="3893" w:type="pct"/>
            <w:gridSpan w:val="11"/>
          </w:tcPr>
          <w:p w14:paraId="1A6DA6AC" w14:textId="77777777" w:rsidR="002B04AE" w:rsidRPr="002B04AE" w:rsidRDefault="002B04AE" w:rsidP="002B04AE">
            <w:pPr>
              <w:rPr>
                <w:rStyle w:val="markedcontent"/>
                <w:b/>
                <w:bCs/>
              </w:rPr>
            </w:pPr>
            <w:r w:rsidRPr="002B04AE">
              <w:rPr>
                <w:rStyle w:val="markedcontent"/>
                <w:b/>
                <w:bCs/>
              </w:rPr>
              <w:t xml:space="preserve">Body motion </w:t>
            </w:r>
          </w:p>
          <w:p w14:paraId="18117CC8" w14:textId="584E3684" w:rsidR="006E1A8E" w:rsidRPr="00621EA0" w:rsidRDefault="002B04AE" w:rsidP="002B04AE">
            <w:pPr>
              <w:rPr>
                <w:rFonts w:eastAsia="Times New Roman"/>
              </w:rPr>
            </w:pPr>
            <w:r w:rsidRPr="002B04AE">
              <w:rPr>
                <w:rStyle w:val="markedcontent"/>
              </w:rPr>
              <w:t xml:space="preserve">Description of motion of deformable bodies, Rotation and </w:t>
            </w:r>
            <w:proofErr w:type="spellStart"/>
            <w:r w:rsidRPr="002B04AE">
              <w:rPr>
                <w:rStyle w:val="markedcontent"/>
              </w:rPr>
              <w:t>vorticity</w:t>
            </w:r>
            <w:proofErr w:type="spellEnd"/>
            <w:r w:rsidRPr="002B04AE">
              <w:rPr>
                <w:rStyle w:val="markedcontent"/>
              </w:rPr>
              <w:t xml:space="preserve">, Strain rate tensor, Time rate of change of volume </w:t>
            </w:r>
            <w:r>
              <w:rPr>
                <w:rStyle w:val="markedcontent"/>
              </w:rPr>
              <w:t xml:space="preserve"> </w:t>
            </w:r>
            <w:r w:rsidRPr="002B04AE">
              <w:rPr>
                <w:rStyle w:val="markedcontent"/>
              </w:rPr>
              <w:t xml:space="preserve">and  line  integrals,  </w:t>
            </w:r>
            <w:proofErr w:type="spellStart"/>
            <w:r w:rsidRPr="002B04AE">
              <w:rPr>
                <w:rStyle w:val="markedcontent"/>
              </w:rPr>
              <w:t>Reynold’s</w:t>
            </w:r>
            <w:proofErr w:type="spellEnd"/>
            <w:r w:rsidRPr="002B04AE">
              <w:rPr>
                <w:rStyle w:val="markedcontent"/>
              </w:rPr>
              <w:t xml:space="preserve">  transport  theorem,  Stress  tensor,  Continuity  and  equilibrium  equations,  Constitutive equations.</w:t>
            </w:r>
          </w:p>
        </w:tc>
        <w:tc>
          <w:tcPr>
            <w:tcW w:w="432" w:type="pct"/>
            <w:gridSpan w:val="4"/>
            <w:vAlign w:val="center"/>
          </w:tcPr>
          <w:p w14:paraId="71ECB7D4" w14:textId="6E3387FB" w:rsidR="006E1A8E" w:rsidRPr="00621EA0" w:rsidRDefault="006E1A8E" w:rsidP="00007C0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21EA0">
              <w:rPr>
                <w:bCs/>
              </w:rPr>
              <w:t>06</w:t>
            </w:r>
          </w:p>
        </w:tc>
        <w:tc>
          <w:tcPr>
            <w:tcW w:w="490" w:type="pct"/>
            <w:gridSpan w:val="2"/>
            <w:vAlign w:val="center"/>
          </w:tcPr>
          <w:p w14:paraId="2155428B" w14:textId="366F1950" w:rsidR="006E1A8E" w:rsidRPr="005E5E8E" w:rsidRDefault="006E1A8E" w:rsidP="005E5E8E">
            <w:pPr>
              <w:jc w:val="center"/>
              <w:rPr>
                <w:b/>
              </w:rPr>
            </w:pPr>
            <w:r w:rsidRPr="005E5E8E">
              <w:rPr>
                <w:bCs/>
              </w:rPr>
              <w:t>CO2</w:t>
            </w:r>
          </w:p>
        </w:tc>
      </w:tr>
      <w:tr w:rsidR="006E1A8E" w:rsidRPr="00E60344" w14:paraId="13A95164" w14:textId="77777777" w:rsidTr="00621EA0">
        <w:trPr>
          <w:trHeight w:val="683"/>
          <w:jc w:val="center"/>
        </w:trPr>
        <w:tc>
          <w:tcPr>
            <w:tcW w:w="185" w:type="pct"/>
            <w:vAlign w:val="center"/>
          </w:tcPr>
          <w:p w14:paraId="4F0621F5" w14:textId="17D5D15F" w:rsidR="006E1A8E" w:rsidRPr="005E5E8E" w:rsidRDefault="006E1A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III</w:t>
            </w:r>
          </w:p>
        </w:tc>
        <w:tc>
          <w:tcPr>
            <w:tcW w:w="3893" w:type="pct"/>
            <w:gridSpan w:val="11"/>
            <w:vAlign w:val="center"/>
          </w:tcPr>
          <w:p w14:paraId="635EC410" w14:textId="77777777" w:rsidR="002B04AE" w:rsidRPr="002B04AE" w:rsidRDefault="002B04AE" w:rsidP="002B04AE">
            <w:pPr>
              <w:rPr>
                <w:rStyle w:val="markedcontent"/>
                <w:b/>
                <w:bCs/>
              </w:rPr>
            </w:pPr>
            <w:r w:rsidRPr="002B04AE">
              <w:rPr>
                <w:rStyle w:val="markedcontent"/>
                <w:b/>
                <w:bCs/>
              </w:rPr>
              <w:t xml:space="preserve">Fluid dynamics </w:t>
            </w:r>
          </w:p>
          <w:p w14:paraId="4594857C" w14:textId="77777777" w:rsidR="002B04AE" w:rsidRPr="002B04AE" w:rsidRDefault="002B04AE" w:rsidP="002B04AE">
            <w:pPr>
              <w:rPr>
                <w:rStyle w:val="markedcontent"/>
              </w:rPr>
            </w:pPr>
            <w:r w:rsidRPr="002B04AE">
              <w:rPr>
                <w:rStyle w:val="markedcontent"/>
              </w:rPr>
              <w:t xml:space="preserve">Derivation  of  </w:t>
            </w:r>
            <w:proofErr w:type="spellStart"/>
            <w:r w:rsidRPr="002B04AE">
              <w:rPr>
                <w:rStyle w:val="markedcontent"/>
              </w:rPr>
              <w:t>Navier-Stoke’s</w:t>
            </w:r>
            <w:proofErr w:type="spellEnd"/>
            <w:r w:rsidRPr="002B04AE">
              <w:rPr>
                <w:rStyle w:val="markedcontent"/>
              </w:rPr>
              <w:t xml:space="preserve">  equation  and  its  applications,  Introduction  to  laminar  flow,  </w:t>
            </w:r>
            <w:proofErr w:type="spellStart"/>
            <w:r w:rsidRPr="002B04AE">
              <w:rPr>
                <w:rStyle w:val="markedcontent"/>
              </w:rPr>
              <w:t>Blasius</w:t>
            </w:r>
            <w:proofErr w:type="spellEnd"/>
            <w:r w:rsidRPr="002B04AE">
              <w:rPr>
                <w:rStyle w:val="markedcontent"/>
              </w:rPr>
              <w:t xml:space="preserve">  equation,  Karman </w:t>
            </w:r>
          </w:p>
          <w:p w14:paraId="08EC46F2" w14:textId="6DD1C08F" w:rsidR="006E1A8E" w:rsidRPr="00621EA0" w:rsidRDefault="002B04AE" w:rsidP="002B04AE">
            <w:pPr>
              <w:rPr>
                <w:rFonts w:eastAsia="Times New Roman"/>
              </w:rPr>
            </w:pPr>
            <w:r w:rsidRPr="002B04AE">
              <w:rPr>
                <w:rStyle w:val="markedcontent"/>
              </w:rPr>
              <w:t>momentum equation</w:t>
            </w:r>
          </w:p>
        </w:tc>
        <w:tc>
          <w:tcPr>
            <w:tcW w:w="432" w:type="pct"/>
            <w:gridSpan w:val="4"/>
            <w:vAlign w:val="center"/>
          </w:tcPr>
          <w:p w14:paraId="6B6A6B9B" w14:textId="0B00BB74" w:rsidR="006E1A8E" w:rsidRPr="00621EA0" w:rsidRDefault="006E1A8E" w:rsidP="00007C0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490" w:type="pct"/>
            <w:gridSpan w:val="2"/>
            <w:vAlign w:val="center"/>
          </w:tcPr>
          <w:p w14:paraId="6CAF1443" w14:textId="5F2AD173" w:rsidR="006E1A8E" w:rsidRPr="00621EA0" w:rsidRDefault="006E1A8E" w:rsidP="00621EA0">
            <w:pPr>
              <w:jc w:val="center"/>
              <w:rPr>
                <w:b/>
              </w:rPr>
            </w:pPr>
            <w:r w:rsidRPr="005E5E8E">
              <w:rPr>
                <w:bCs/>
              </w:rPr>
              <w:t>CO3</w:t>
            </w:r>
          </w:p>
        </w:tc>
      </w:tr>
      <w:tr w:rsidR="006E1A8E" w:rsidRPr="00E60344" w14:paraId="1E12FFC7" w14:textId="77777777" w:rsidTr="00114BA7">
        <w:trPr>
          <w:trHeight w:val="944"/>
          <w:jc w:val="center"/>
        </w:trPr>
        <w:tc>
          <w:tcPr>
            <w:tcW w:w="185" w:type="pct"/>
            <w:vAlign w:val="center"/>
          </w:tcPr>
          <w:p w14:paraId="33E7B7FE" w14:textId="1BF68072" w:rsidR="006E1A8E" w:rsidRPr="005E5E8E" w:rsidRDefault="006E1A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IV</w:t>
            </w:r>
          </w:p>
        </w:tc>
        <w:tc>
          <w:tcPr>
            <w:tcW w:w="3893" w:type="pct"/>
            <w:gridSpan w:val="11"/>
          </w:tcPr>
          <w:p w14:paraId="2D0962F4" w14:textId="77777777" w:rsidR="002B04AE" w:rsidRPr="002B04AE" w:rsidRDefault="002B04AE" w:rsidP="002B04AE">
            <w:pPr>
              <w:rPr>
                <w:rStyle w:val="markedcontent"/>
                <w:b/>
                <w:bCs/>
              </w:rPr>
            </w:pPr>
            <w:r w:rsidRPr="002B04AE">
              <w:rPr>
                <w:rStyle w:val="markedcontent"/>
                <w:b/>
                <w:bCs/>
              </w:rPr>
              <w:t xml:space="preserve">Turbulent flow </w:t>
            </w:r>
          </w:p>
          <w:p w14:paraId="5C26018E" w14:textId="77777777" w:rsidR="002B04AE" w:rsidRPr="002B04AE" w:rsidRDefault="002B04AE" w:rsidP="002B04AE">
            <w:pPr>
              <w:rPr>
                <w:rStyle w:val="markedcontent"/>
              </w:rPr>
            </w:pPr>
            <w:r w:rsidRPr="002B04AE">
              <w:rPr>
                <w:rStyle w:val="markedcontent"/>
              </w:rPr>
              <w:t xml:space="preserve">Description  of  turbulent  flow,  Kelvin-Helmholtz  instability,  Mean  flow  equations,  </w:t>
            </w:r>
            <w:proofErr w:type="spellStart"/>
            <w:r w:rsidRPr="002B04AE">
              <w:rPr>
                <w:rStyle w:val="markedcontent"/>
              </w:rPr>
              <w:t>Prandtl’s</w:t>
            </w:r>
            <w:proofErr w:type="spellEnd"/>
            <w:r w:rsidRPr="002B04AE">
              <w:rPr>
                <w:rStyle w:val="markedcontent"/>
              </w:rPr>
              <w:t xml:space="preserve">  mixing  length,  Turbulent </w:t>
            </w:r>
          </w:p>
          <w:p w14:paraId="65E30BE3" w14:textId="39169966" w:rsidR="006E1A8E" w:rsidRPr="00621EA0" w:rsidRDefault="002B04AE" w:rsidP="002B04AE">
            <w:pPr>
              <w:rPr>
                <w:rFonts w:eastAsia="Times New Roman"/>
              </w:rPr>
            </w:pPr>
            <w:proofErr w:type="spellStart"/>
            <w:r w:rsidRPr="002B04AE">
              <w:rPr>
                <w:rStyle w:val="markedcontent"/>
              </w:rPr>
              <w:t>Poiseuille</w:t>
            </w:r>
            <w:proofErr w:type="spellEnd"/>
            <w:r w:rsidRPr="002B04AE">
              <w:rPr>
                <w:rStyle w:val="markedcontent"/>
              </w:rPr>
              <w:t xml:space="preserve"> flow, Jets and wakes.</w:t>
            </w:r>
          </w:p>
        </w:tc>
        <w:tc>
          <w:tcPr>
            <w:tcW w:w="432" w:type="pct"/>
            <w:gridSpan w:val="4"/>
            <w:vAlign w:val="center"/>
          </w:tcPr>
          <w:p w14:paraId="524BFDBF" w14:textId="4F0B69D7" w:rsidR="006E1A8E" w:rsidRPr="00621EA0" w:rsidRDefault="0053029C" w:rsidP="00007C0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490" w:type="pct"/>
            <w:gridSpan w:val="2"/>
            <w:vAlign w:val="center"/>
          </w:tcPr>
          <w:p w14:paraId="48527302" w14:textId="08B21C3F" w:rsidR="006E1A8E" w:rsidRPr="00621EA0" w:rsidRDefault="006E1A8E" w:rsidP="00621EA0">
            <w:pPr>
              <w:jc w:val="center"/>
              <w:rPr>
                <w:b/>
              </w:rPr>
            </w:pPr>
            <w:r w:rsidRPr="005E5E8E">
              <w:rPr>
                <w:bCs/>
              </w:rPr>
              <w:t>CO4</w:t>
            </w:r>
          </w:p>
        </w:tc>
      </w:tr>
      <w:tr w:rsidR="006E1A8E" w:rsidRPr="00E60344" w14:paraId="666794E2" w14:textId="77777777" w:rsidTr="00114BA7">
        <w:trPr>
          <w:trHeight w:val="570"/>
          <w:jc w:val="center"/>
        </w:trPr>
        <w:tc>
          <w:tcPr>
            <w:tcW w:w="185" w:type="pct"/>
            <w:vAlign w:val="center"/>
          </w:tcPr>
          <w:p w14:paraId="1AC684F1" w14:textId="4D03F5F7" w:rsidR="006E1A8E" w:rsidRPr="005E5E8E" w:rsidRDefault="006E1A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V</w:t>
            </w:r>
          </w:p>
        </w:tc>
        <w:tc>
          <w:tcPr>
            <w:tcW w:w="3893" w:type="pct"/>
            <w:gridSpan w:val="11"/>
          </w:tcPr>
          <w:p w14:paraId="4B8E4556" w14:textId="77777777" w:rsidR="002B04AE" w:rsidRDefault="002B04AE" w:rsidP="002B04AE">
            <w:pPr>
              <w:rPr>
                <w:rStyle w:val="markedcontent"/>
                <w:b/>
                <w:bCs/>
              </w:rPr>
            </w:pPr>
            <w:r w:rsidRPr="002B04AE">
              <w:rPr>
                <w:rStyle w:val="markedcontent"/>
                <w:b/>
                <w:bCs/>
              </w:rPr>
              <w:t xml:space="preserve">Flow of Ideal Fluids </w:t>
            </w:r>
          </w:p>
          <w:p w14:paraId="4CE6D3DD" w14:textId="5C7F51BC" w:rsidR="006E1A8E" w:rsidRPr="002B04AE" w:rsidRDefault="002B04AE" w:rsidP="002B04AE">
            <w:r w:rsidRPr="002B04AE">
              <w:rPr>
                <w:rStyle w:val="markedcontent"/>
              </w:rPr>
              <w:t xml:space="preserve">Analysis of Incompressible Flow, Vortex Flow,  Flow About a Cylinder without Circulation, Flow Past a Source, Flow </w:t>
            </w:r>
            <w:r>
              <w:rPr>
                <w:rStyle w:val="markedcontent"/>
              </w:rPr>
              <w:t>a</w:t>
            </w:r>
            <w:r w:rsidRPr="002B04AE">
              <w:rPr>
                <w:rStyle w:val="markedcontent"/>
              </w:rPr>
              <w:t>bout a Rotating Cylinder</w:t>
            </w:r>
          </w:p>
        </w:tc>
        <w:tc>
          <w:tcPr>
            <w:tcW w:w="432" w:type="pct"/>
            <w:gridSpan w:val="4"/>
            <w:vAlign w:val="center"/>
          </w:tcPr>
          <w:p w14:paraId="4E5A959C" w14:textId="465D39CD" w:rsidR="006E1A8E" w:rsidRPr="00621EA0" w:rsidRDefault="0053029C" w:rsidP="00007C0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90" w:type="pct"/>
            <w:gridSpan w:val="2"/>
            <w:vAlign w:val="center"/>
          </w:tcPr>
          <w:p w14:paraId="33F24CD8" w14:textId="5730640D" w:rsidR="006E1A8E" w:rsidRPr="005E5E8E" w:rsidRDefault="00881B97" w:rsidP="006E1A8E">
            <w:pPr>
              <w:jc w:val="center"/>
              <w:rPr>
                <w:bCs/>
              </w:rPr>
            </w:pPr>
            <w:r>
              <w:rPr>
                <w:bCs/>
              </w:rPr>
              <w:t>CO4</w:t>
            </w:r>
            <w:bookmarkStart w:id="0" w:name="_GoBack"/>
            <w:bookmarkEnd w:id="0"/>
          </w:p>
          <w:p w14:paraId="042A50BA" w14:textId="3E3727C0" w:rsidR="006E1A8E" w:rsidRPr="005E5E8E" w:rsidRDefault="006E1A8E" w:rsidP="00DE782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E5E8E" w:rsidRPr="00E60344" w14:paraId="786D6D7C" w14:textId="77777777" w:rsidTr="008B3A67">
        <w:trPr>
          <w:trHeight w:val="340"/>
          <w:jc w:val="center"/>
        </w:trPr>
        <w:tc>
          <w:tcPr>
            <w:tcW w:w="4078" w:type="pct"/>
            <w:gridSpan w:val="12"/>
            <w:vAlign w:val="center"/>
          </w:tcPr>
          <w:p w14:paraId="05FB88AC" w14:textId="01D9AD34" w:rsidR="005E5E8E" w:rsidRPr="00E60344" w:rsidRDefault="005E5E8E" w:rsidP="00007C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</w:rPr>
              <w:t>Total Hours</w:t>
            </w:r>
          </w:p>
        </w:tc>
        <w:tc>
          <w:tcPr>
            <w:tcW w:w="432" w:type="pct"/>
            <w:gridSpan w:val="4"/>
            <w:vAlign w:val="center"/>
          </w:tcPr>
          <w:p w14:paraId="1DB6D96C" w14:textId="04062572" w:rsidR="005E5E8E" w:rsidRPr="00E60344" w:rsidRDefault="005E5E8E" w:rsidP="00007C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490" w:type="pct"/>
            <w:gridSpan w:val="2"/>
            <w:vAlign w:val="center"/>
          </w:tcPr>
          <w:p w14:paraId="0ABFBAC9" w14:textId="77777777" w:rsidR="005E5E8E" w:rsidRPr="00E60344" w:rsidRDefault="005E5E8E" w:rsidP="00007C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E5E8E" w:rsidRPr="00E60344" w14:paraId="4C9A29E8" w14:textId="77777777" w:rsidTr="0084531C">
        <w:trPr>
          <w:trHeight w:val="479"/>
          <w:jc w:val="center"/>
        </w:trPr>
        <w:tc>
          <w:tcPr>
            <w:tcW w:w="5000" w:type="pct"/>
            <w:gridSpan w:val="18"/>
          </w:tcPr>
          <w:p w14:paraId="1EEB86AC" w14:textId="6491FEEA" w:rsidR="005E5E8E" w:rsidRPr="00E60344" w:rsidRDefault="005E5E8E" w:rsidP="00007C06">
            <w:pPr>
              <w:spacing w:line="360" w:lineRule="auto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Essential Readings</w:t>
            </w:r>
          </w:p>
        </w:tc>
      </w:tr>
      <w:tr w:rsidR="0053029C" w:rsidRPr="00E60344" w14:paraId="1C0F4C2F" w14:textId="77777777" w:rsidTr="00BC0EE3">
        <w:trPr>
          <w:trHeight w:val="296"/>
          <w:jc w:val="center"/>
        </w:trPr>
        <w:tc>
          <w:tcPr>
            <w:tcW w:w="5000" w:type="pct"/>
            <w:gridSpan w:val="18"/>
          </w:tcPr>
          <w:p w14:paraId="514696AD" w14:textId="7FBD0F2B" w:rsidR="0053029C" w:rsidRPr="0053029C" w:rsidRDefault="0053029C" w:rsidP="0053029C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029C">
              <w:rPr>
                <w:rStyle w:val="markedcontent"/>
                <w:rFonts w:ascii="Times New Roman" w:hAnsi="Times New Roman" w:cs="Times New Roman"/>
              </w:rPr>
              <w:t>Ligett</w:t>
            </w:r>
            <w:proofErr w:type="spellEnd"/>
            <w:r w:rsidRPr="0053029C">
              <w:rPr>
                <w:rStyle w:val="markedcontent"/>
                <w:rFonts w:ascii="Times New Roman" w:hAnsi="Times New Roman" w:cs="Times New Roman"/>
              </w:rPr>
              <w:t xml:space="preserve">, J. A., “Fluid Mechanics”, McGraw-Hill International Editions. </w:t>
            </w:r>
          </w:p>
        </w:tc>
      </w:tr>
      <w:tr w:rsidR="0053029C" w:rsidRPr="00E60344" w14:paraId="71419EC5" w14:textId="77777777" w:rsidTr="00BC0EE3">
        <w:trPr>
          <w:trHeight w:val="296"/>
          <w:jc w:val="center"/>
        </w:trPr>
        <w:tc>
          <w:tcPr>
            <w:tcW w:w="5000" w:type="pct"/>
            <w:gridSpan w:val="18"/>
          </w:tcPr>
          <w:p w14:paraId="5C818E6C" w14:textId="03C810D1" w:rsidR="0053029C" w:rsidRPr="0053029C" w:rsidRDefault="0053029C" w:rsidP="0053029C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3029C">
              <w:rPr>
                <w:rStyle w:val="markedcontent"/>
                <w:rFonts w:ascii="Times New Roman" w:hAnsi="Times New Roman" w:cs="Times New Roman"/>
              </w:rPr>
              <w:t>Batchelor</w:t>
            </w:r>
            <w:proofErr w:type="spellEnd"/>
            <w:r w:rsidRPr="0053029C">
              <w:rPr>
                <w:rStyle w:val="markedcontent"/>
                <w:rFonts w:ascii="Times New Roman" w:hAnsi="Times New Roman" w:cs="Times New Roman"/>
              </w:rPr>
              <w:t xml:space="preserve">, G. K., “An Introduction to Fluid Mechanics”, Cambridge University Press. </w:t>
            </w:r>
          </w:p>
        </w:tc>
      </w:tr>
      <w:tr w:rsidR="0053029C" w:rsidRPr="00E60344" w14:paraId="476AFFC3" w14:textId="77777777" w:rsidTr="00BC0EE3">
        <w:trPr>
          <w:trHeight w:val="296"/>
          <w:jc w:val="center"/>
        </w:trPr>
        <w:tc>
          <w:tcPr>
            <w:tcW w:w="5000" w:type="pct"/>
            <w:gridSpan w:val="18"/>
          </w:tcPr>
          <w:p w14:paraId="7E92238E" w14:textId="24F566A7" w:rsidR="0053029C" w:rsidRPr="0053029C" w:rsidRDefault="0053029C" w:rsidP="00621EA0">
            <w:pPr>
              <w:pStyle w:val="ListParagraph"/>
              <w:numPr>
                <w:ilvl w:val="0"/>
                <w:numId w:val="18"/>
              </w:numPr>
              <w:spacing w:after="0"/>
              <w:rPr>
                <w:rStyle w:val="markedcontent"/>
                <w:rFonts w:ascii="Times New Roman" w:hAnsi="Times New Roman" w:cs="Times New Roman"/>
              </w:rPr>
            </w:pPr>
            <w:r w:rsidRPr="0053029C">
              <w:rPr>
                <w:rStyle w:val="markedcontent"/>
                <w:rFonts w:ascii="Times New Roman" w:hAnsi="Times New Roman" w:cs="Times New Roman"/>
              </w:rPr>
              <w:t>Shames, L. H., “Mechanics of Fluids”, McGraw-Hill.</w:t>
            </w:r>
          </w:p>
        </w:tc>
      </w:tr>
      <w:tr w:rsidR="005E5E8E" w:rsidRPr="00E60344" w14:paraId="2E5F8B19" w14:textId="77777777" w:rsidTr="00500DE6">
        <w:trPr>
          <w:trHeight w:val="340"/>
          <w:jc w:val="center"/>
        </w:trPr>
        <w:tc>
          <w:tcPr>
            <w:tcW w:w="5000" w:type="pct"/>
            <w:gridSpan w:val="18"/>
          </w:tcPr>
          <w:p w14:paraId="25C9160C" w14:textId="0E733A13" w:rsidR="005E5E8E" w:rsidRPr="00E60344" w:rsidRDefault="005E5E8E" w:rsidP="0073150D">
            <w:pPr>
              <w:spacing w:line="360" w:lineRule="auto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Supplementary Readings</w:t>
            </w:r>
          </w:p>
        </w:tc>
      </w:tr>
      <w:tr w:rsidR="0053029C" w:rsidRPr="00E60344" w14:paraId="16CC830F" w14:textId="77777777" w:rsidTr="006A3973">
        <w:trPr>
          <w:trHeight w:val="170"/>
          <w:jc w:val="center"/>
        </w:trPr>
        <w:tc>
          <w:tcPr>
            <w:tcW w:w="5000" w:type="pct"/>
            <w:gridSpan w:val="18"/>
          </w:tcPr>
          <w:p w14:paraId="289FD574" w14:textId="443C0F8D" w:rsidR="0053029C" w:rsidRPr="00621EA0" w:rsidRDefault="0053029C" w:rsidP="0053029C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C11F99">
              <w:t xml:space="preserve"> </w:t>
            </w:r>
            <w:proofErr w:type="spellStart"/>
            <w:r w:rsidRPr="00C11F99">
              <w:t>Chatterjee</w:t>
            </w:r>
            <w:proofErr w:type="spellEnd"/>
            <w:r w:rsidRPr="00C11F99">
              <w:t xml:space="preserve">, R., “Mathematical Theory of Continuum Mechanics”, </w:t>
            </w:r>
            <w:proofErr w:type="spellStart"/>
            <w:r w:rsidRPr="00C11F99">
              <w:t>Narosa</w:t>
            </w:r>
            <w:proofErr w:type="spellEnd"/>
            <w:r w:rsidRPr="00C11F99">
              <w:t xml:space="preserve"> Publishing House</w:t>
            </w:r>
          </w:p>
        </w:tc>
      </w:tr>
      <w:tr w:rsidR="0053029C" w:rsidRPr="00E60344" w14:paraId="11D5A969" w14:textId="77777777" w:rsidTr="006A3973">
        <w:trPr>
          <w:trHeight w:val="170"/>
          <w:jc w:val="center"/>
        </w:trPr>
        <w:tc>
          <w:tcPr>
            <w:tcW w:w="5000" w:type="pct"/>
            <w:gridSpan w:val="18"/>
          </w:tcPr>
          <w:p w14:paraId="198B58AD" w14:textId="245C1572" w:rsidR="0053029C" w:rsidRPr="00621EA0" w:rsidRDefault="0053029C" w:rsidP="0053029C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C11F99">
              <w:t>Chung, T. J., “Continuum Mechanics”, Prentice Hall.</w:t>
            </w:r>
          </w:p>
        </w:tc>
      </w:tr>
    </w:tbl>
    <w:p w14:paraId="49BEFE70" w14:textId="77777777" w:rsidR="00134922" w:rsidRPr="00E60344" w:rsidRDefault="00134922" w:rsidP="00007C06">
      <w:pPr>
        <w:spacing w:line="360" w:lineRule="auto"/>
      </w:pPr>
    </w:p>
    <w:sectPr w:rsidR="00134922" w:rsidRPr="00E60344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9F1"/>
    <w:multiLevelType w:val="hybridMultilevel"/>
    <w:tmpl w:val="D1EE54AA"/>
    <w:lvl w:ilvl="0" w:tplc="4FC6E9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33FC"/>
    <w:multiLevelType w:val="hybridMultilevel"/>
    <w:tmpl w:val="13B43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E0DBE"/>
    <w:multiLevelType w:val="hybridMultilevel"/>
    <w:tmpl w:val="41A6E4CA"/>
    <w:lvl w:ilvl="0" w:tplc="AA7864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C0070"/>
    <w:multiLevelType w:val="multilevel"/>
    <w:tmpl w:val="DFB0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B747DA"/>
    <w:multiLevelType w:val="hybridMultilevel"/>
    <w:tmpl w:val="A4409614"/>
    <w:lvl w:ilvl="0" w:tplc="B2D2A9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B7E97"/>
    <w:multiLevelType w:val="hybridMultilevel"/>
    <w:tmpl w:val="99A83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3E3B80"/>
    <w:multiLevelType w:val="hybridMultilevel"/>
    <w:tmpl w:val="972E4E62"/>
    <w:lvl w:ilvl="0" w:tplc="DB96B2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8B2A86"/>
    <w:multiLevelType w:val="hybridMultilevel"/>
    <w:tmpl w:val="3F38B572"/>
    <w:lvl w:ilvl="0" w:tplc="5F5A67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C4FD4"/>
    <w:multiLevelType w:val="hybridMultilevel"/>
    <w:tmpl w:val="9A6E0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C7F75"/>
    <w:multiLevelType w:val="hybridMultilevel"/>
    <w:tmpl w:val="C95AFE7C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FC14B2"/>
    <w:multiLevelType w:val="hybridMultilevel"/>
    <w:tmpl w:val="EFA40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983785"/>
    <w:multiLevelType w:val="hybridMultilevel"/>
    <w:tmpl w:val="34F28D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3F4D70"/>
    <w:multiLevelType w:val="multilevel"/>
    <w:tmpl w:val="288A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5F1801"/>
    <w:multiLevelType w:val="hybridMultilevel"/>
    <w:tmpl w:val="0A4C66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876F16"/>
    <w:multiLevelType w:val="hybridMultilevel"/>
    <w:tmpl w:val="D71CEE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322718"/>
    <w:multiLevelType w:val="hybridMultilevel"/>
    <w:tmpl w:val="E0746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17"/>
  </w:num>
  <w:num w:numId="9">
    <w:abstractNumId w:val="3"/>
  </w:num>
  <w:num w:numId="10">
    <w:abstractNumId w:val="14"/>
  </w:num>
  <w:num w:numId="11">
    <w:abstractNumId w:val="16"/>
  </w:num>
  <w:num w:numId="12">
    <w:abstractNumId w:val="8"/>
  </w:num>
  <w:num w:numId="13">
    <w:abstractNumId w:val="15"/>
  </w:num>
  <w:num w:numId="14">
    <w:abstractNumId w:val="11"/>
  </w:num>
  <w:num w:numId="15">
    <w:abstractNumId w:val="13"/>
  </w:num>
  <w:num w:numId="16">
    <w:abstractNumId w:val="12"/>
  </w:num>
  <w:num w:numId="17">
    <w:abstractNumId w:val="5"/>
  </w:num>
  <w:num w:numId="1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mputer5 center5">
    <w15:presenceInfo w15:providerId="None" w15:userId="computer5 center5"/>
  </w15:person>
  <w15:person w15:author="Sreeja Pekkat">
    <w15:presenceInfo w15:providerId="AD" w15:userId="S-1-5-21-2260215454-4166327515-584521527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oNotTrackMoves/>
  <w:doNotTrackFormatting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jA1NjK3MDM0NjMzMDBU0lEKTi0uzszPAykwqwUATlokYSwAAAA="/>
  </w:docVars>
  <w:rsids>
    <w:rsidRoot w:val="00A41C51"/>
    <w:rsid w:val="00007C06"/>
    <w:rsid w:val="000116EB"/>
    <w:rsid w:val="00021DFC"/>
    <w:rsid w:val="000334F6"/>
    <w:rsid w:val="00044C38"/>
    <w:rsid w:val="000471A8"/>
    <w:rsid w:val="00071970"/>
    <w:rsid w:val="00075E2A"/>
    <w:rsid w:val="0009077F"/>
    <w:rsid w:val="00095602"/>
    <w:rsid w:val="0009740A"/>
    <w:rsid w:val="000C1B00"/>
    <w:rsid w:val="000D5535"/>
    <w:rsid w:val="000F0AC9"/>
    <w:rsid w:val="00103039"/>
    <w:rsid w:val="0012243E"/>
    <w:rsid w:val="0012632F"/>
    <w:rsid w:val="00134922"/>
    <w:rsid w:val="001414D5"/>
    <w:rsid w:val="00143CF2"/>
    <w:rsid w:val="001470C3"/>
    <w:rsid w:val="00150567"/>
    <w:rsid w:val="001739B5"/>
    <w:rsid w:val="00174408"/>
    <w:rsid w:val="00194C31"/>
    <w:rsid w:val="001A0106"/>
    <w:rsid w:val="001A1A91"/>
    <w:rsid w:val="001B6FCC"/>
    <w:rsid w:val="001C799B"/>
    <w:rsid w:val="0020361E"/>
    <w:rsid w:val="00236E1D"/>
    <w:rsid w:val="00240F48"/>
    <w:rsid w:val="00241F18"/>
    <w:rsid w:val="00245533"/>
    <w:rsid w:val="00260876"/>
    <w:rsid w:val="00260F77"/>
    <w:rsid w:val="00274B94"/>
    <w:rsid w:val="00282B04"/>
    <w:rsid w:val="00297342"/>
    <w:rsid w:val="00297C96"/>
    <w:rsid w:val="002B04AE"/>
    <w:rsid w:val="002F10B0"/>
    <w:rsid w:val="00302F01"/>
    <w:rsid w:val="003039C6"/>
    <w:rsid w:val="003039F2"/>
    <w:rsid w:val="003042A0"/>
    <w:rsid w:val="00305704"/>
    <w:rsid w:val="00310D67"/>
    <w:rsid w:val="003206A8"/>
    <w:rsid w:val="003349CC"/>
    <w:rsid w:val="00336964"/>
    <w:rsid w:val="00351BC5"/>
    <w:rsid w:val="00352FCD"/>
    <w:rsid w:val="0037323D"/>
    <w:rsid w:val="00373594"/>
    <w:rsid w:val="0038365A"/>
    <w:rsid w:val="0038684E"/>
    <w:rsid w:val="003926A8"/>
    <w:rsid w:val="003A7C5C"/>
    <w:rsid w:val="003C25E5"/>
    <w:rsid w:val="003E5482"/>
    <w:rsid w:val="003F6AAA"/>
    <w:rsid w:val="00412E3A"/>
    <w:rsid w:val="00416FF3"/>
    <w:rsid w:val="00420493"/>
    <w:rsid w:val="00444739"/>
    <w:rsid w:val="0046580E"/>
    <w:rsid w:val="00483D6F"/>
    <w:rsid w:val="00485A56"/>
    <w:rsid w:val="00490B20"/>
    <w:rsid w:val="004A2D63"/>
    <w:rsid w:val="004B002B"/>
    <w:rsid w:val="004B31B2"/>
    <w:rsid w:val="004C7DA5"/>
    <w:rsid w:val="004E0F5F"/>
    <w:rsid w:val="004F15CF"/>
    <w:rsid w:val="004F15DE"/>
    <w:rsid w:val="004F4BFC"/>
    <w:rsid w:val="00502F21"/>
    <w:rsid w:val="005110D8"/>
    <w:rsid w:val="005230D9"/>
    <w:rsid w:val="00526AF1"/>
    <w:rsid w:val="0053029C"/>
    <w:rsid w:val="005404A5"/>
    <w:rsid w:val="00543250"/>
    <w:rsid w:val="005570CC"/>
    <w:rsid w:val="00573690"/>
    <w:rsid w:val="00582BDD"/>
    <w:rsid w:val="00594E06"/>
    <w:rsid w:val="005972C4"/>
    <w:rsid w:val="005A16FC"/>
    <w:rsid w:val="005A73D4"/>
    <w:rsid w:val="005B1C81"/>
    <w:rsid w:val="005B33A2"/>
    <w:rsid w:val="005C111A"/>
    <w:rsid w:val="005C52D8"/>
    <w:rsid w:val="005E5E8E"/>
    <w:rsid w:val="005F644D"/>
    <w:rsid w:val="0060704C"/>
    <w:rsid w:val="006175AC"/>
    <w:rsid w:val="00621EA0"/>
    <w:rsid w:val="00627A8A"/>
    <w:rsid w:val="00641903"/>
    <w:rsid w:val="006423C9"/>
    <w:rsid w:val="00684C91"/>
    <w:rsid w:val="006965D7"/>
    <w:rsid w:val="006A1D9E"/>
    <w:rsid w:val="006A33A2"/>
    <w:rsid w:val="006C1A34"/>
    <w:rsid w:val="006D2AF3"/>
    <w:rsid w:val="006E1A8E"/>
    <w:rsid w:val="006E3B3E"/>
    <w:rsid w:val="006F41B4"/>
    <w:rsid w:val="00705659"/>
    <w:rsid w:val="00711C7D"/>
    <w:rsid w:val="0072493A"/>
    <w:rsid w:val="007276EE"/>
    <w:rsid w:val="0073150D"/>
    <w:rsid w:val="00731714"/>
    <w:rsid w:val="00740BF5"/>
    <w:rsid w:val="007429A0"/>
    <w:rsid w:val="00756D4D"/>
    <w:rsid w:val="007843A5"/>
    <w:rsid w:val="00784CCC"/>
    <w:rsid w:val="007A3DB3"/>
    <w:rsid w:val="007B099E"/>
    <w:rsid w:val="007E785E"/>
    <w:rsid w:val="007F3158"/>
    <w:rsid w:val="007F6E69"/>
    <w:rsid w:val="008024A1"/>
    <w:rsid w:val="008035D6"/>
    <w:rsid w:val="00835680"/>
    <w:rsid w:val="0084237A"/>
    <w:rsid w:val="0084531C"/>
    <w:rsid w:val="00875694"/>
    <w:rsid w:val="00881B97"/>
    <w:rsid w:val="008857E4"/>
    <w:rsid w:val="008972F0"/>
    <w:rsid w:val="008B0985"/>
    <w:rsid w:val="008B3A67"/>
    <w:rsid w:val="008C3374"/>
    <w:rsid w:val="008E6508"/>
    <w:rsid w:val="008F5D5E"/>
    <w:rsid w:val="0090234E"/>
    <w:rsid w:val="00904144"/>
    <w:rsid w:val="009052BB"/>
    <w:rsid w:val="009107FC"/>
    <w:rsid w:val="00921081"/>
    <w:rsid w:val="00921E12"/>
    <w:rsid w:val="00923BEB"/>
    <w:rsid w:val="00932C41"/>
    <w:rsid w:val="00937F2C"/>
    <w:rsid w:val="00945EDC"/>
    <w:rsid w:val="00947D4D"/>
    <w:rsid w:val="00955C43"/>
    <w:rsid w:val="00970D1D"/>
    <w:rsid w:val="009862D1"/>
    <w:rsid w:val="00997419"/>
    <w:rsid w:val="009B13C0"/>
    <w:rsid w:val="009E5824"/>
    <w:rsid w:val="009F02A3"/>
    <w:rsid w:val="00A006E9"/>
    <w:rsid w:val="00A25112"/>
    <w:rsid w:val="00A30D8F"/>
    <w:rsid w:val="00A31076"/>
    <w:rsid w:val="00A37B0A"/>
    <w:rsid w:val="00A41C51"/>
    <w:rsid w:val="00A51852"/>
    <w:rsid w:val="00A60421"/>
    <w:rsid w:val="00A90D11"/>
    <w:rsid w:val="00AA151F"/>
    <w:rsid w:val="00AB2749"/>
    <w:rsid w:val="00AE4680"/>
    <w:rsid w:val="00B276DE"/>
    <w:rsid w:val="00B56F19"/>
    <w:rsid w:val="00B8693E"/>
    <w:rsid w:val="00B97A35"/>
    <w:rsid w:val="00BA5E12"/>
    <w:rsid w:val="00BC76B4"/>
    <w:rsid w:val="00BE259C"/>
    <w:rsid w:val="00BF29F7"/>
    <w:rsid w:val="00C123D4"/>
    <w:rsid w:val="00C1657B"/>
    <w:rsid w:val="00C350D1"/>
    <w:rsid w:val="00C3638C"/>
    <w:rsid w:val="00C629A7"/>
    <w:rsid w:val="00C658D2"/>
    <w:rsid w:val="00C70A27"/>
    <w:rsid w:val="00C72C1B"/>
    <w:rsid w:val="00C83AE5"/>
    <w:rsid w:val="00C84C45"/>
    <w:rsid w:val="00C90147"/>
    <w:rsid w:val="00CA31FC"/>
    <w:rsid w:val="00CA78E3"/>
    <w:rsid w:val="00CB710F"/>
    <w:rsid w:val="00CD2DC4"/>
    <w:rsid w:val="00CD5BC7"/>
    <w:rsid w:val="00CE3661"/>
    <w:rsid w:val="00D12436"/>
    <w:rsid w:val="00D3104B"/>
    <w:rsid w:val="00D362AD"/>
    <w:rsid w:val="00D3784C"/>
    <w:rsid w:val="00D41636"/>
    <w:rsid w:val="00D467DB"/>
    <w:rsid w:val="00D60E2E"/>
    <w:rsid w:val="00D66AFB"/>
    <w:rsid w:val="00D72C0C"/>
    <w:rsid w:val="00D923FA"/>
    <w:rsid w:val="00DA4CFE"/>
    <w:rsid w:val="00DB6EC1"/>
    <w:rsid w:val="00DC697F"/>
    <w:rsid w:val="00DD4092"/>
    <w:rsid w:val="00DE1D33"/>
    <w:rsid w:val="00DE7825"/>
    <w:rsid w:val="00DF3419"/>
    <w:rsid w:val="00DF76BE"/>
    <w:rsid w:val="00E26E66"/>
    <w:rsid w:val="00E35904"/>
    <w:rsid w:val="00E47A61"/>
    <w:rsid w:val="00E56F9C"/>
    <w:rsid w:val="00E60344"/>
    <w:rsid w:val="00E86362"/>
    <w:rsid w:val="00E953ED"/>
    <w:rsid w:val="00E973FC"/>
    <w:rsid w:val="00EB348C"/>
    <w:rsid w:val="00EC4471"/>
    <w:rsid w:val="00ED2660"/>
    <w:rsid w:val="00EE4ADF"/>
    <w:rsid w:val="00EF18DB"/>
    <w:rsid w:val="00F13CFC"/>
    <w:rsid w:val="00F24AB2"/>
    <w:rsid w:val="00F45EF4"/>
    <w:rsid w:val="00F81FE1"/>
    <w:rsid w:val="00FA029A"/>
    <w:rsid w:val="00FA5CDF"/>
    <w:rsid w:val="00FB3401"/>
    <w:rsid w:val="00FB4B9C"/>
    <w:rsid w:val="00FB7C78"/>
    <w:rsid w:val="00FC4397"/>
    <w:rsid w:val="00FC4B5C"/>
    <w:rsid w:val="00FD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A61B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50D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8972F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IN" w:eastAsia="en-US"/>
    </w:rPr>
  </w:style>
  <w:style w:type="character" w:customStyle="1" w:styleId="apple-converted-space">
    <w:name w:val="apple-converted-space"/>
    <w:basedOn w:val="DefaultParagraphFont"/>
    <w:rsid w:val="007429A0"/>
  </w:style>
  <w:style w:type="paragraph" w:customStyle="1" w:styleId="TableParagraph">
    <w:name w:val="Table Paragraph"/>
    <w:basedOn w:val="Normal"/>
    <w:uiPriority w:val="1"/>
    <w:qFormat/>
    <w:rsid w:val="009F02A3"/>
    <w:pPr>
      <w:widowControl w:val="0"/>
      <w:autoSpaceDE w:val="0"/>
      <w:autoSpaceDN w:val="0"/>
      <w:jc w:val="center"/>
    </w:pPr>
    <w:rPr>
      <w:rFonts w:eastAsia="Times New Roman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5185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3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0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0D1"/>
    <w:rPr>
      <w:rFonts w:ascii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0D1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C350D1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972F0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product-banner-author-name">
    <w:name w:val="product-banner-author-name"/>
    <w:basedOn w:val="DefaultParagraphFont"/>
    <w:rsid w:val="008972F0"/>
  </w:style>
  <w:style w:type="character" w:customStyle="1" w:styleId="display-label">
    <w:name w:val="display-label"/>
    <w:basedOn w:val="DefaultParagraphFont"/>
    <w:rsid w:val="008972F0"/>
  </w:style>
  <w:style w:type="paragraph" w:styleId="NoSpacing">
    <w:name w:val="No Spacing"/>
    <w:uiPriority w:val="1"/>
    <w:qFormat/>
    <w:rsid w:val="00945EDC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markedcontent">
    <w:name w:val="markedcontent"/>
    <w:basedOn w:val="DefaultParagraphFont"/>
    <w:rsid w:val="00621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4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8152">
              <w:marLeft w:val="0"/>
              <w:marRight w:val="0"/>
              <w:marTop w:val="21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44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204</cp:revision>
  <cp:lastPrinted>2020-02-28T05:00:00Z</cp:lastPrinted>
  <dcterms:created xsi:type="dcterms:W3CDTF">2019-08-28T11:58:00Z</dcterms:created>
  <dcterms:modified xsi:type="dcterms:W3CDTF">2021-08-23T13:57:00Z</dcterms:modified>
</cp:coreProperties>
</file>